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741"/>
        <w:gridCol w:w="3180"/>
      </w:tblGrid>
      <w:tr>
        <w:tc>
          <w:tcPr>
            <w:tcW w:type="dxa" w:w="6741"/>
          </w:tcPr>
          <w:p w14:paraId="01000000">
            <w:pPr>
              <w:spacing w:before="14" w:line="264" w:lineRule="exact"/>
              <w:ind w:right="-55"/>
            </w:pPr>
            <w:bookmarkStart w:id="1" w:name="_Hlk398047635"/>
          </w:p>
        </w:tc>
        <w:tc>
          <w:tcPr>
            <w:tcW w:type="dxa" w:w="3180"/>
          </w:tcPr>
          <w:p w14:paraId="02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№ </w:t>
            </w:r>
            <w:r>
              <w:rPr>
                <w:sz w:val="20"/>
              </w:rPr>
              <w:t>1</w:t>
            </w: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к протоколу заседания Правления 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Региональной службы по тарифам 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6000000">
            <w:pPr>
              <w:ind/>
              <w:jc w:val="right"/>
            </w:pP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>25.07</w:t>
            </w:r>
            <w:r>
              <w:rPr>
                <w:sz w:val="20"/>
              </w:rPr>
              <w:t>.202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 № </w:t>
            </w:r>
            <w:r>
              <w:rPr>
                <w:sz w:val="20"/>
              </w:rPr>
              <w:t>31</w:t>
            </w:r>
          </w:p>
        </w:tc>
      </w:tr>
    </w:tbl>
    <w:p w14:paraId="07000000">
      <w:pPr>
        <w:ind/>
        <w:jc w:val="center"/>
        <w:rPr>
          <w:b w:val="1"/>
          <w:sz w:val="20"/>
        </w:rPr>
      </w:pPr>
      <w:bookmarkEnd w:id="1"/>
      <w:r>
        <w:rPr>
          <w:b w:val="1"/>
          <w:sz w:val="20"/>
        </w:rPr>
        <w:drawing>
          <wp:inline>
            <wp:extent cx="620395" cy="62039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20395" cy="6203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pStyle w:val="Style_2"/>
        <w:widowControl w:val="1"/>
        <w:ind/>
        <w:jc w:val="center"/>
        <w:rPr>
          <w:rFonts w:ascii="Times New Roman" w:hAnsi="Times New Roman"/>
          <w:b w:val="0"/>
          <w:sz w:val="26"/>
        </w:rPr>
      </w:pPr>
    </w:p>
    <w:p w14:paraId="0E000000">
      <w:pPr>
        <w:ind w:firstLine="540" w:left="0" w:right="665"/>
        <w:jc w:val="center"/>
        <w:rPr>
          <w:sz w:val="28"/>
        </w:rPr>
      </w:pPr>
      <w:r>
        <w:rPr>
          <w:sz w:val="28"/>
        </w:rPr>
        <w:t>25</w:t>
      </w:r>
      <w:r>
        <w:rPr>
          <w:sz w:val="28"/>
        </w:rPr>
        <w:t>.</w:t>
      </w:r>
      <w:r>
        <w:rPr>
          <w:sz w:val="28"/>
        </w:rPr>
        <w:t>07</w:t>
      </w:r>
      <w:r>
        <w:rPr>
          <w:sz w:val="28"/>
        </w:rPr>
        <w:t>.202</w:t>
      </w:r>
      <w:r>
        <w:rPr>
          <w:sz w:val="28"/>
        </w:rPr>
        <w:t>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81</w:t>
      </w:r>
    </w:p>
    <w:p w14:paraId="0F000000">
      <w:pPr>
        <w:ind w:firstLine="540" w:left="0" w:right="665"/>
        <w:jc w:val="center"/>
        <w:rPr>
          <w:b w:val="1"/>
          <w:sz w:val="26"/>
        </w:rPr>
      </w:pPr>
    </w:p>
    <w:p w14:paraId="10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Об установлении размера экономически обоснованных расходов на выполнение мероприятий на осуществление технологического присоединения газоиспользующего оборудования в рамках догазификации</w:t>
      </w:r>
    </w:p>
    <w:p w14:paraId="1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для ПАО «Газпром газораспределение Ростов-на-Дону» </w:t>
      </w:r>
    </w:p>
    <w:p w14:paraId="1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за </w:t>
      </w:r>
      <w:r>
        <w:rPr>
          <w:b w:val="1"/>
          <w:sz w:val="28"/>
        </w:rPr>
        <w:t>2</w:t>
      </w:r>
      <w:r>
        <w:rPr>
          <w:b w:val="1"/>
          <w:sz w:val="28"/>
        </w:rPr>
        <w:t xml:space="preserve"> квартал 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года</w:t>
      </w:r>
    </w:p>
    <w:p w14:paraId="13000000">
      <w:pPr>
        <w:ind/>
        <w:jc w:val="center"/>
        <w:rPr>
          <w:b w:val="1"/>
          <w:sz w:val="28"/>
        </w:rPr>
      </w:pPr>
    </w:p>
    <w:p w14:paraId="14000000">
      <w:pPr>
        <w:ind w:firstLine="709" w:left="0"/>
        <w:jc w:val="both"/>
        <w:rPr>
          <w:sz w:val="28"/>
        </w:rPr>
      </w:pPr>
      <w:r>
        <w:rPr>
          <w:sz w:val="28"/>
        </w:rPr>
        <w:t>В соответствии с Федеральным законом от 31.03.1999 № 69-ФЗ «О газоснабжении в Российской Федерации», постановлением Правительства Российской Федерации от 29.12.2000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постановлением Правительства Российской Федерации от 13.09.2021 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 иных организаций</w:t>
      </w:r>
      <w:bookmarkStart w:id="2" w:name="Par10"/>
      <w:bookmarkEnd w:id="2"/>
      <w:r>
        <w:rPr>
          <w:sz w:val="28"/>
        </w:rPr>
        <w:t xml:space="preserve">», Методическими указаниями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тарифных ставок, определяющих ее величину, утвержденными приказом Федеральной антимонопольной службы от 16.08.2018  № 1151/18, Положением о Региональной службе по тарифам Ростовской области, утвержденным постановлением </w:t>
      </w:r>
      <w:r>
        <w:rPr>
          <w:sz w:val="28"/>
        </w:rPr>
        <w:t xml:space="preserve">Правительства Ростовской области от 13.01.2012 № 20, Региональная служба по тарифам Ростовской области          </w:t>
      </w:r>
    </w:p>
    <w:p w14:paraId="15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    </w:t>
      </w:r>
    </w:p>
    <w:p w14:paraId="16000000">
      <w:pPr>
        <w:ind w:firstLine="540" w:left="0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7000000">
      <w:pPr>
        <w:ind w:firstLine="709" w:left="0"/>
        <w:jc w:val="both"/>
        <w:rPr>
          <w:sz w:val="28"/>
        </w:rPr>
      </w:pPr>
    </w:p>
    <w:p w14:paraId="18000000">
      <w:pPr>
        <w:pStyle w:val="Style_3"/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Установить экономически обоснованные расходы на выполнение мероприятий, подлежащих осуществлению в ходе технологического присоединения газоиспользующего оборудования</w:t>
      </w:r>
      <w:r>
        <w:rPr>
          <w:sz w:val="28"/>
        </w:rPr>
        <w:t>:</w:t>
      </w:r>
    </w:p>
    <w:p w14:paraId="19000000">
      <w:pPr>
        <w:ind w:firstLine="709" w:left="0"/>
        <w:jc w:val="both"/>
        <w:rPr>
          <w:rStyle w:val="Style_4_ch"/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деятельности, осуществляемых без взимания с них</w:t>
      </w:r>
      <w:r>
        <w:rPr>
          <w:rStyle w:val="Style_4_ch"/>
          <w:sz w:val="28"/>
        </w:rPr>
        <w:t xml:space="preserve"> средств, при условии, что в населенном пункте, в котором располагается домовладение заявителя, проложены газораспределительные сети, по которым осуществляется транспортировка газа, или программой газификации жилищно-коммунального хозяйства,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пункта, </w:t>
      </w:r>
      <w:r>
        <w:rPr>
          <w:sz w:val="28"/>
        </w:rPr>
        <w:t>а также при наличии у таких лиц документа,</w:t>
      </w:r>
      <w:r>
        <w:rPr>
          <w:rStyle w:val="Style_4_ch"/>
          <w:sz w:val="28"/>
        </w:rPr>
        <w:t xml:space="preserve"> подтверждающего право собственности или иное предусмотренное законом право на домовладение и земельный участок, на котором расположено это домовладение;</w:t>
      </w:r>
    </w:p>
    <w:p w14:paraId="1A000000">
      <w:pPr>
        <w:ind w:firstLine="709" w:left="0"/>
        <w:jc w:val="both"/>
        <w:rPr>
          <w:rStyle w:val="Style_4_ch"/>
          <w:sz w:val="28"/>
        </w:rPr>
      </w:pPr>
      <w:r>
        <w:rPr>
          <w:rStyle w:val="Style_4_ch"/>
          <w:sz w:val="28"/>
        </w:rPr>
        <w:t xml:space="preserve">- </w:t>
      </w:r>
      <w:r>
        <w:rPr>
          <w:rStyle w:val="Style_4_ch"/>
          <w:sz w:val="28"/>
        </w:rPr>
        <w:t>расположенного в объектах капитального строительства, в которых размещены фельдшерские и фельдшерско-акушерские пункты, кабинеты (отделения) врачей общей практики и врачебные амбулатории, входящие в состав имеющих лицензии на осуществление медицинской деятельности медицинских организаций государственной системы здравоохранения и муниципальной системы здравоохранения, намеревающихся использовать газ для отопления и горячего водоснабжения указанных объектов капитального строительства (за исключением выполнения мероприятий в границах земельных участков, на которых располагаются указанные объекты капитального строительства), осуществляется без взимания с них средств при условии, что в населенном пункте, в котором располагаются такие объекты капитального строительства, проложены газораспределительные сети и осуществляется транспортировка газа, или программой газификации жилищно-коммунального хозяйства,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пункта;</w:t>
      </w:r>
    </w:p>
    <w:p w14:paraId="1B000000">
      <w:pPr>
        <w:ind w:firstLine="709" w:left="0"/>
        <w:jc w:val="both"/>
        <w:rPr>
          <w:rStyle w:val="Style_4_ch"/>
          <w:sz w:val="28"/>
        </w:rPr>
      </w:pPr>
      <w:r>
        <w:rPr>
          <w:rStyle w:val="Style_4_ch"/>
          <w:sz w:val="28"/>
        </w:rPr>
        <w:t>-</w:t>
      </w:r>
      <w:r>
        <w:rPr>
          <w:rStyle w:val="Style_4_ch"/>
          <w:sz w:val="28"/>
        </w:rPr>
        <w:t xml:space="preserve"> принадлежащего юридическим лицам и расположенного в котельных всех типов, использующих газ в качестве топлива в целях выработки тепловой энергии (за исключением выполнения мероприятий в границах земельных участков, на которых располагаются такие котельные) для обеспечения образовательной и (или) медицинской деятельности исключительно государственных или муниципальных общеобразовательных организаций и (или) дошкольных образовательных организаций, имеющих лицензию на осуществление образовательной деятельности, и (или) медицинских организаций государственной системы и муниципальной системы здравоохранения, имеющих лицензии на осуществление </w:t>
      </w:r>
      <w:r>
        <w:rPr>
          <w:rStyle w:val="Style_4_ch"/>
          <w:sz w:val="28"/>
        </w:rPr>
        <w:t xml:space="preserve">медицинской деятельности, осуществляется без взимания средств с юридических лиц при условии, что в населенном пункте, в котором располагаются котельные юридических лиц, проложены газораспределительные сети, по которым осуществляется транспортировка газа, а также при наличии у юридических лиц документа, подтверждающего право собственности или иное предусмотренное законом право на котельные и земельный участок, на котором расположены эти котельные, </w:t>
      </w:r>
    </w:p>
    <w:p w14:paraId="1C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за </w:t>
      </w:r>
      <w:r>
        <w:rPr>
          <w:sz w:val="28"/>
        </w:rPr>
        <w:t>2</w:t>
      </w:r>
      <w:r>
        <w:rPr>
          <w:sz w:val="28"/>
        </w:rPr>
        <w:t xml:space="preserve"> квартал 202</w:t>
      </w:r>
      <w:r>
        <w:rPr>
          <w:sz w:val="28"/>
        </w:rPr>
        <w:t>5</w:t>
      </w:r>
      <w:r>
        <w:rPr>
          <w:sz w:val="28"/>
        </w:rPr>
        <w:t xml:space="preserve"> года в размере </w:t>
      </w:r>
      <w:r>
        <w:rPr>
          <w:sz w:val="28"/>
        </w:rPr>
        <w:t>439 </w:t>
      </w:r>
      <w:r>
        <w:rPr>
          <w:sz w:val="28"/>
        </w:rPr>
        <w:t>84</w:t>
      </w:r>
      <w:r>
        <w:rPr>
          <w:sz w:val="28"/>
        </w:rPr>
        <w:t>4</w:t>
      </w:r>
      <w:r>
        <w:rPr>
          <w:sz w:val="28"/>
        </w:rPr>
        <w:t> 098,02</w:t>
      </w:r>
      <w:r>
        <w:rPr>
          <w:sz w:val="28"/>
        </w:rPr>
        <w:t xml:space="preserve"> </w:t>
      </w:r>
      <w:r>
        <w:rPr>
          <w:sz w:val="28"/>
        </w:rPr>
        <w:t>руб.</w:t>
      </w:r>
      <w:r>
        <w:rPr>
          <w:sz w:val="28"/>
        </w:rPr>
        <w:t xml:space="preserve"> (без учета НДС), в том числе не покрытых финансовыми средствами, получаемыми ПАО «Газпром газораспределение Ростов-на-Дону» в результате введения специальных надбавок к тарифам на транспортировку газа и установления тарифа на услуги по транспортировке газа </w:t>
      </w:r>
      <w:r>
        <w:rPr>
          <w:sz w:val="28"/>
        </w:rPr>
        <w:t>по газораспределительным сетям,</w:t>
      </w:r>
      <w:r>
        <w:rPr>
          <w:sz w:val="28"/>
        </w:rPr>
        <w:t xml:space="preserve"> а также от иных источников финансирования, </w:t>
      </w:r>
      <w:r>
        <w:rPr>
          <w:sz w:val="28"/>
        </w:rPr>
        <w:t xml:space="preserve">в размере </w:t>
      </w:r>
      <w:r>
        <w:rPr>
          <w:sz w:val="28"/>
        </w:rPr>
        <w:t>249</w:t>
      </w:r>
      <w:r>
        <w:rPr>
          <w:sz w:val="28"/>
        </w:rPr>
        <w:t> </w:t>
      </w:r>
      <w:r>
        <w:rPr>
          <w:sz w:val="28"/>
        </w:rPr>
        <w:t>20</w:t>
      </w:r>
      <w:r>
        <w:rPr>
          <w:sz w:val="28"/>
        </w:rPr>
        <w:t>9</w:t>
      </w:r>
      <w:r>
        <w:rPr>
          <w:sz w:val="28"/>
        </w:rPr>
        <w:t> </w:t>
      </w:r>
      <w:r>
        <w:rPr>
          <w:sz w:val="28"/>
        </w:rPr>
        <w:t>092</w:t>
      </w:r>
      <w:r>
        <w:rPr>
          <w:sz w:val="28"/>
        </w:rPr>
        <w:t>,</w:t>
      </w:r>
      <w:r>
        <w:rPr>
          <w:sz w:val="28"/>
        </w:rPr>
        <w:t>66</w:t>
      </w:r>
      <w:r>
        <w:rPr>
          <w:sz w:val="28"/>
        </w:rPr>
        <w:t xml:space="preserve"> руб. (без учета НДС</w:t>
      </w:r>
      <w:r>
        <w:rPr>
          <w:sz w:val="28"/>
        </w:rPr>
        <w:t>)</w:t>
      </w:r>
      <w:r>
        <w:rPr>
          <w:sz w:val="28"/>
        </w:rPr>
        <w:t>, согласно приложению к постановлению</w:t>
      </w:r>
      <w:r>
        <w:rPr>
          <w:sz w:val="28"/>
        </w:rPr>
        <w:t>.</w:t>
      </w:r>
    </w:p>
    <w:p w14:paraId="1D000000">
      <w:pPr>
        <w:pStyle w:val="Style_5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2. 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 и вступает в силу со дня его официального опубликования.</w:t>
      </w:r>
    </w:p>
    <w:p w14:paraId="1E000000">
      <w:pPr>
        <w:pStyle w:val="Style_5"/>
        <w:ind w:firstLine="540" w:left="0"/>
        <w:jc w:val="both"/>
        <w:rPr>
          <w:rFonts w:ascii="Times New Roman" w:hAnsi="Times New Roman"/>
          <w:sz w:val="28"/>
        </w:rPr>
      </w:pPr>
    </w:p>
    <w:p w14:paraId="1F000000">
      <w:pPr>
        <w:ind/>
        <w:jc w:val="both"/>
        <w:rPr>
          <w:b w:val="1"/>
          <w:sz w:val="28"/>
        </w:rPr>
      </w:pPr>
    </w:p>
    <w:p w14:paraId="20000000">
      <w:pPr>
        <w:ind/>
        <w:jc w:val="both"/>
        <w:rPr>
          <w:b w:val="1"/>
          <w:sz w:val="28"/>
        </w:rPr>
      </w:pPr>
    </w:p>
    <w:p w14:paraId="21000000">
      <w:pPr>
        <w:ind/>
        <w:jc w:val="both"/>
        <w:rPr>
          <w:b w:val="1"/>
          <w:sz w:val="28"/>
        </w:rPr>
      </w:pPr>
    </w:p>
    <w:p w14:paraId="22000000">
      <w:pPr>
        <w:ind/>
        <w:jc w:val="both"/>
        <w:rPr>
          <w:b w:val="1"/>
          <w:sz w:val="28"/>
        </w:rPr>
      </w:pPr>
      <w:bookmarkStart w:id="3" w:name="_GoBack"/>
      <w:bookmarkEnd w:id="3"/>
      <w:r>
        <w:rPr>
          <w:b w:val="1"/>
          <w:sz w:val="28"/>
        </w:rPr>
        <w:t xml:space="preserve">Руководитель </w:t>
      </w:r>
    </w:p>
    <w:p w14:paraId="23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</w:t>
      </w:r>
    </w:p>
    <w:p w14:paraId="24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по тарифам Ростовской области        </w:t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                    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А.В. Лукьянов</w:t>
      </w:r>
    </w:p>
    <w:p w14:paraId="25000000">
      <w:pPr>
        <w:rPr>
          <w:sz w:val="28"/>
        </w:rPr>
      </w:pPr>
    </w:p>
    <w:p w14:paraId="26000000">
      <w:pPr>
        <w:rPr>
          <w:sz w:val="28"/>
        </w:rPr>
      </w:pPr>
    </w:p>
    <w:p w14:paraId="27000000">
      <w:pPr>
        <w:rPr>
          <w:sz w:val="28"/>
        </w:rPr>
      </w:pPr>
    </w:p>
    <w:p w14:paraId="28000000">
      <w:pPr>
        <w:rPr>
          <w:sz w:val="28"/>
        </w:rPr>
      </w:pPr>
    </w:p>
    <w:p w14:paraId="29000000">
      <w:pPr>
        <w:rPr>
          <w:sz w:val="28"/>
        </w:rPr>
      </w:pPr>
    </w:p>
    <w:p w14:paraId="2A000000">
      <w:pPr>
        <w:rPr>
          <w:sz w:val="28"/>
        </w:rPr>
      </w:pPr>
    </w:p>
    <w:p w14:paraId="2B000000">
      <w:pPr>
        <w:rPr>
          <w:sz w:val="28"/>
        </w:rPr>
      </w:pPr>
    </w:p>
    <w:p w14:paraId="2C000000">
      <w:pPr>
        <w:rPr>
          <w:b w:val="1"/>
        </w:rPr>
      </w:pPr>
      <w:r>
        <w:rPr>
          <w:sz w:val="28"/>
        </w:rPr>
        <w:tab/>
      </w:r>
    </w:p>
    <w:p w14:paraId="2D000000">
      <w:pPr>
        <w:tabs>
          <w:tab w:leader="none" w:pos="952" w:val="left"/>
        </w:tabs>
        <w:ind/>
        <w:rPr>
          <w:sz w:val="28"/>
        </w:rPr>
      </w:pPr>
    </w:p>
    <w:sectPr>
      <w:pgSz w:h="16838" w:orient="portrait" w:w="11906"/>
      <w:pgMar w:bottom="1105" w:footer="720" w:gutter="0" w:header="720" w:left="1134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495" w:left="1035"/>
      </w:pPr>
    </w:lvl>
    <w:lvl w:ilvl="1">
      <w:start w:val="1"/>
      <w:numFmt w:val="lowerLetter"/>
      <w:lvlText w:val="%2."/>
      <w:lvlJc w:val="left"/>
      <w:pPr>
        <w:ind w:hanging="360" w:left="1620"/>
      </w:pPr>
    </w:lvl>
    <w:lvl w:ilvl="2">
      <w:start w:val="1"/>
      <w:numFmt w:val="lowerRoman"/>
      <w:lvlText w:val="%3."/>
      <w:lvlJc w:val="right"/>
      <w:pPr>
        <w:ind w:hanging="180" w:left="2340"/>
      </w:pPr>
    </w:lvl>
    <w:lvl w:ilvl="3">
      <w:start w:val="1"/>
      <w:numFmt w:val="decimal"/>
      <w:lvlText w:val="%4."/>
      <w:lvlJc w:val="left"/>
      <w:pPr>
        <w:ind w:hanging="360" w:left="3060"/>
      </w:pPr>
    </w:lvl>
    <w:lvl w:ilvl="4">
      <w:start w:val="1"/>
      <w:numFmt w:val="lowerLetter"/>
      <w:lvlText w:val="%5."/>
      <w:lvlJc w:val="left"/>
      <w:pPr>
        <w:ind w:hanging="360" w:left="3780"/>
      </w:pPr>
    </w:lvl>
    <w:lvl w:ilvl="5">
      <w:start w:val="1"/>
      <w:numFmt w:val="lowerRoman"/>
      <w:lvlText w:val="%6."/>
      <w:lvlJc w:val="right"/>
      <w:pPr>
        <w:ind w:hanging="180" w:left="4500"/>
      </w:pPr>
    </w:lvl>
    <w:lvl w:ilvl="6">
      <w:start w:val="1"/>
      <w:numFmt w:val="decimal"/>
      <w:lvlText w:val="%7."/>
      <w:lvlJc w:val="left"/>
      <w:pPr>
        <w:ind w:hanging="360" w:left="5220"/>
      </w:pPr>
    </w:lvl>
    <w:lvl w:ilvl="7">
      <w:start w:val="1"/>
      <w:numFmt w:val="lowerLetter"/>
      <w:lvlText w:val="%8."/>
      <w:lvlJc w:val="left"/>
      <w:pPr>
        <w:ind w:hanging="360" w:left="5940"/>
      </w:pPr>
    </w:lvl>
    <w:lvl w:ilvl="8">
      <w:start w:val="1"/>
      <w:numFmt w:val="lowerRoman"/>
      <w:lvlText w:val="%9."/>
      <w:lvlJc w:val="right"/>
      <w:pPr>
        <w:ind w:hanging="180" w:left="666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toc 4"/>
    <w:next w:val="Style_6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ConsPlusNonformat"/>
    <w:link w:val="Style_10_ch"/>
    <w:rPr>
      <w:rFonts w:ascii="Courier New" w:hAnsi="Courier New"/>
    </w:rPr>
  </w:style>
  <w:style w:styleId="Style_10_ch" w:type="character">
    <w:name w:val="ConsPlusNonformat"/>
    <w:link w:val="Style_10"/>
    <w:rPr>
      <w:rFonts w:ascii="Courier New" w:hAnsi="Courier New"/>
    </w:rPr>
  </w:style>
  <w:style w:styleId="Style_11" w:type="paragraph">
    <w:name w:val="toc 6"/>
    <w:next w:val="Style_6"/>
    <w:link w:val="Style_11_ch"/>
    <w:uiPriority w:val="39"/>
    <w:pPr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6"/>
    <w:link w:val="Style_12_ch"/>
    <w:uiPriority w:val="39"/>
    <w:pPr>
      <w:ind w:firstLine="0"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Body Text"/>
    <w:basedOn w:val="Style_6"/>
    <w:link w:val="Style_14_ch"/>
    <w:pPr>
      <w:spacing w:after="120"/>
      <w:ind/>
    </w:pPr>
  </w:style>
  <w:style w:styleId="Style_14_ch" w:type="character">
    <w:name w:val="Body Text"/>
    <w:basedOn w:val="Style_6_ch"/>
    <w:link w:val="Style_14"/>
  </w:style>
  <w:style w:styleId="Style_4" w:type="paragraph">
    <w:name w:val="Обычный1"/>
    <w:link w:val="Style_4_ch"/>
    <w:rPr>
      <w:sz w:val="24"/>
    </w:rPr>
  </w:style>
  <w:style w:styleId="Style_4_ch" w:type="character">
    <w:name w:val="Обычный1"/>
    <w:link w:val="Style_4"/>
    <w:rPr>
      <w:sz w:val="24"/>
    </w:rPr>
  </w:style>
  <w:style w:styleId="Style_15" w:type="paragraph">
    <w:name w:val="Знак"/>
    <w:basedOn w:val="Style_6"/>
    <w:link w:val="Style_15_ch"/>
    <w:pPr>
      <w:spacing w:afterAutospacing="on" w:beforeAutospacing="on"/>
      <w:ind/>
    </w:pPr>
    <w:rPr>
      <w:rFonts w:ascii="Tahoma" w:hAnsi="Tahoma"/>
      <w:sz w:val="20"/>
    </w:rPr>
  </w:style>
  <w:style w:styleId="Style_15_ch" w:type="character">
    <w:name w:val="Знак"/>
    <w:basedOn w:val="Style_6_ch"/>
    <w:link w:val="Style_15"/>
    <w:rPr>
      <w:rFonts w:ascii="Tahoma" w:hAnsi="Tahoma"/>
      <w:sz w:val="20"/>
    </w:rPr>
  </w:style>
  <w:style w:styleId="Style_16" w:type="paragraph">
    <w:name w:val="Гиперссылка1"/>
    <w:link w:val="Style_16_ch"/>
    <w:rPr>
      <w:color w:val="0000FF"/>
      <w:u w:val="single"/>
    </w:rPr>
  </w:style>
  <w:style w:styleId="Style_16_ch" w:type="character">
    <w:name w:val="Гиперссылка1"/>
    <w:link w:val="Style_16"/>
    <w:rPr>
      <w:color w:val="0000FF"/>
      <w:u w:val="single"/>
    </w:rPr>
  </w:style>
  <w:style w:styleId="Style_17" w:type="paragraph">
    <w:name w:val="toc 3"/>
    <w:next w:val="Style_6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Balloon Text"/>
    <w:basedOn w:val="Style_6"/>
    <w:link w:val="Style_18_ch"/>
    <w:rPr>
      <w:rFonts w:ascii="Tahoma" w:hAnsi="Tahoma"/>
      <w:sz w:val="16"/>
    </w:rPr>
  </w:style>
  <w:style w:styleId="Style_18_ch" w:type="character">
    <w:name w:val="Balloon Text"/>
    <w:basedOn w:val="Style_6_ch"/>
    <w:link w:val="Style_18"/>
    <w:rPr>
      <w:rFonts w:ascii="Tahoma" w:hAnsi="Tahoma"/>
      <w:sz w:val="16"/>
    </w:rPr>
  </w:style>
  <w:style w:styleId="Style_19" w:type="paragraph">
    <w:name w:val="heading 5"/>
    <w:next w:val="Style_6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21" w:type="paragraph">
    <w:name w:val="heading 1"/>
    <w:next w:val="Style_6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Знак1 Знак Знак Знак"/>
    <w:basedOn w:val="Style_6"/>
    <w:link w:val="Style_22_ch"/>
    <w:pPr>
      <w:spacing w:afterAutospacing="on" w:beforeAutospacing="on"/>
      <w:ind/>
    </w:pPr>
    <w:rPr>
      <w:rFonts w:ascii="Tahoma" w:hAnsi="Tahoma"/>
      <w:sz w:val="20"/>
    </w:rPr>
  </w:style>
  <w:style w:styleId="Style_22_ch" w:type="character">
    <w:name w:val="Знак1 Знак Знак Знак"/>
    <w:basedOn w:val="Style_6_ch"/>
    <w:link w:val="Style_22"/>
    <w:rPr>
      <w:rFonts w:ascii="Tahoma" w:hAnsi="Tahoma"/>
      <w:sz w:val="20"/>
    </w:rPr>
  </w:style>
  <w:style w:styleId="Style_23" w:type="paragraph">
    <w:name w:val="Font Style14"/>
    <w:link w:val="Style_23_ch"/>
    <w:rPr>
      <w:sz w:val="26"/>
    </w:rPr>
  </w:style>
  <w:style w:styleId="Style_23_ch" w:type="character">
    <w:name w:val="Font Style14"/>
    <w:link w:val="Style_23"/>
    <w:rPr>
      <w:sz w:val="26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Знак"/>
    <w:basedOn w:val="Style_6"/>
    <w:link w:val="Style_26_ch"/>
    <w:pPr>
      <w:spacing w:afterAutospacing="on" w:beforeAutospacing="on"/>
      <w:ind/>
    </w:pPr>
    <w:rPr>
      <w:rFonts w:ascii="Tahoma" w:hAnsi="Tahoma"/>
      <w:sz w:val="20"/>
    </w:rPr>
  </w:style>
  <w:style w:styleId="Style_26_ch" w:type="character">
    <w:name w:val="Знак"/>
    <w:basedOn w:val="Style_6_ch"/>
    <w:link w:val="Style_26"/>
    <w:rPr>
      <w:rFonts w:ascii="Tahoma" w:hAnsi="Tahoma"/>
      <w:sz w:val="20"/>
    </w:rPr>
  </w:style>
  <w:style w:styleId="Style_27" w:type="paragraph">
    <w:name w:val="toc 1"/>
    <w:next w:val="Style_6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ConsPlusCell"/>
    <w:link w:val="Style_28_ch"/>
    <w:rPr>
      <w:sz w:val="26"/>
    </w:rPr>
  </w:style>
  <w:style w:styleId="Style_28_ch" w:type="character">
    <w:name w:val="ConsPlusCell"/>
    <w:link w:val="Style_28"/>
    <w:rPr>
      <w:sz w:val="26"/>
    </w:rPr>
  </w:style>
  <w:style w:styleId="Style_29" w:type="paragraph">
    <w:name w:val="Header and Footer"/>
    <w:link w:val="Style_29_ch"/>
    <w:pPr>
      <w:ind/>
      <w:jc w:val="both"/>
    </w:pPr>
    <w:rPr>
      <w:rFonts w:ascii="XO Thames" w:hAnsi="XO Thames"/>
    </w:rPr>
  </w:style>
  <w:style w:styleId="Style_29_ch" w:type="character">
    <w:name w:val="Header and Footer"/>
    <w:link w:val="Style_29"/>
    <w:rPr>
      <w:rFonts w:ascii="XO Thames" w:hAnsi="XO Thames"/>
    </w:rPr>
  </w:style>
  <w:style w:styleId="Style_30" w:type="paragraph">
    <w:name w:val="Гиперссылка2"/>
    <w:link w:val="Style_30_ch"/>
    <w:rPr>
      <w:color w:val="0000FF"/>
      <w:u w:val="single"/>
    </w:rPr>
  </w:style>
  <w:style w:styleId="Style_30_ch" w:type="character">
    <w:name w:val="Гиперссылка2"/>
    <w:link w:val="Style_30"/>
    <w:rPr>
      <w:color w:val="0000FF"/>
      <w:u w:val="single"/>
    </w:rPr>
  </w:style>
  <w:style w:styleId="Style_31" w:type="paragraph">
    <w:name w:val="toc 9"/>
    <w:next w:val="Style_6"/>
    <w:link w:val="Style_31_ch"/>
    <w:uiPriority w:val="39"/>
    <w:pPr>
      <w:ind w:firstLine="0" w:left="1600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toc 10"/>
    <w:next w:val="Style_6"/>
    <w:link w:val="Style_32_ch"/>
    <w:pPr>
      <w:ind w:firstLine="0" w:left="1800"/>
    </w:pPr>
    <w:rPr>
      <w:rFonts w:ascii="XO Thames" w:hAnsi="XO Thames"/>
      <w:sz w:val="28"/>
    </w:rPr>
  </w:style>
  <w:style w:styleId="Style_32_ch" w:type="character">
    <w:name w:val="toc 10"/>
    <w:link w:val="Style_32"/>
    <w:rPr>
      <w:rFonts w:ascii="XO Thames" w:hAnsi="XO Thames"/>
      <w:sz w:val="28"/>
    </w:rPr>
  </w:style>
  <w:style w:styleId="Style_33" w:type="paragraph">
    <w:name w:val="Обычный1"/>
    <w:link w:val="Style_33_ch"/>
    <w:rPr>
      <w:sz w:val="24"/>
    </w:rPr>
  </w:style>
  <w:style w:styleId="Style_33_ch" w:type="character">
    <w:name w:val="Обычный1"/>
    <w:link w:val="Style_33"/>
    <w:rPr>
      <w:sz w:val="24"/>
    </w:rPr>
  </w:style>
  <w:style w:styleId="Style_34" w:type="paragraph">
    <w:name w:val="ConsPlusTitle"/>
    <w:link w:val="Style_34_ch"/>
    <w:rPr>
      <w:rFonts w:ascii="Arial" w:hAnsi="Arial"/>
      <w:b w:val="1"/>
    </w:rPr>
  </w:style>
  <w:style w:styleId="Style_34_ch" w:type="character">
    <w:name w:val="ConsPlusTitle"/>
    <w:link w:val="Style_34"/>
    <w:rPr>
      <w:rFonts w:ascii="Arial" w:hAnsi="Arial"/>
      <w:b w:val="1"/>
    </w:rPr>
  </w:style>
  <w:style w:styleId="Style_35" w:type="paragraph">
    <w:name w:val="toc 8"/>
    <w:next w:val="Style_6"/>
    <w:link w:val="Style_35_ch"/>
    <w:uiPriority w:val="39"/>
    <w:pPr>
      <w:ind w:firstLine="0" w:left="1400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5" w:type="paragraph">
    <w:name w:val="ConsPlusNormal"/>
    <w:link w:val="Style_5_ch"/>
    <w:pPr>
      <w:ind w:firstLine="720" w:left="0"/>
    </w:pPr>
    <w:rPr>
      <w:rFonts w:ascii="Arial" w:hAnsi="Arial"/>
    </w:rPr>
  </w:style>
  <w:style w:styleId="Style_5_ch" w:type="character">
    <w:name w:val="ConsPlusNormal"/>
    <w:link w:val="Style_5"/>
    <w:rPr>
      <w:rFonts w:ascii="Arial" w:hAnsi="Arial"/>
    </w:rPr>
  </w:style>
  <w:style w:styleId="Style_36" w:type="paragraph">
    <w:name w:val="toc 5"/>
    <w:next w:val="Style_6"/>
    <w:link w:val="Style_36_ch"/>
    <w:uiPriority w:val="39"/>
    <w:pPr>
      <w:ind w:firstLine="0" w:left="800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Subtitle"/>
    <w:next w:val="Style_6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" w:type="paragraph">
    <w:name w:val="List Paragraph"/>
    <w:basedOn w:val="Style_6"/>
    <w:link w:val="Style_3_ch"/>
    <w:pPr>
      <w:ind w:firstLine="0" w:left="720"/>
      <w:contextualSpacing w:val="1"/>
    </w:pPr>
  </w:style>
  <w:style w:styleId="Style_3_ch" w:type="character">
    <w:name w:val="List Paragraph"/>
    <w:basedOn w:val="Style_6_ch"/>
    <w:link w:val="Style_3"/>
  </w:style>
  <w:style w:styleId="Style_38" w:type="paragraph">
    <w:name w:val="Body Text Indent 2"/>
    <w:basedOn w:val="Style_6"/>
    <w:link w:val="Style_38_ch"/>
    <w:pPr>
      <w:ind w:firstLine="708" w:left="0"/>
    </w:pPr>
    <w:rPr>
      <w:sz w:val="28"/>
    </w:rPr>
  </w:style>
  <w:style w:styleId="Style_38_ch" w:type="character">
    <w:name w:val="Body Text Indent 2"/>
    <w:basedOn w:val="Style_6_ch"/>
    <w:link w:val="Style_38"/>
    <w:rPr>
      <w:sz w:val="28"/>
    </w:rPr>
  </w:style>
  <w:style w:styleId="Style_39" w:type="paragraph">
    <w:name w:val="Default Paragraph Font"/>
    <w:link w:val="Style_39_ch"/>
  </w:style>
  <w:style w:styleId="Style_39_ch" w:type="character">
    <w:name w:val="Default Paragraph Font"/>
    <w:link w:val="Style_39"/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40" w:type="paragraph">
    <w:name w:val="Title"/>
    <w:next w:val="Style_6"/>
    <w:link w:val="Style_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6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heading 2"/>
    <w:next w:val="Style_6"/>
    <w:link w:val="Style_4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styleId="Style_43" w:type="paragraph">
    <w:name w:val="Основной шрифт абзаца2"/>
    <w:link w:val="Style_43_ch"/>
  </w:style>
  <w:style w:styleId="Style_43_ch" w:type="character">
    <w:name w:val="Основной шрифт абзаца2"/>
    <w:link w:val="Style_43"/>
  </w:style>
  <w:style w:styleId="Style_44" w:type="paragraph">
    <w:name w:val="Font Style11"/>
    <w:link w:val="Style_44_ch"/>
    <w:rPr>
      <w:b w:val="1"/>
      <w:sz w:val="26"/>
    </w:rPr>
  </w:style>
  <w:style w:styleId="Style_44_ch" w:type="character">
    <w:name w:val="Font Style11"/>
    <w:link w:val="Style_44"/>
    <w:rPr>
      <w:b w:val="1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2025-07-28T08:18:12Z</dcterms:modified>
</cp:coreProperties>
</file>