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30" w:lineRule="exact"/>
        <w:ind w:firstLine="0" w:left="6300"/>
        <w:jc w:val="right"/>
        <w:rPr>
          <w:spacing w:val="-4"/>
        </w:rPr>
      </w:pPr>
      <w:r>
        <w:rPr>
          <w:spacing w:val="-4"/>
        </w:rPr>
        <w:t>Приложение №</w:t>
      </w:r>
      <w:r>
        <w:rPr>
          <w:spacing w:val="-4"/>
        </w:rPr>
        <w:t xml:space="preserve"> </w:t>
      </w:r>
      <w:r>
        <w:rPr>
          <w:spacing w:val="-4"/>
        </w:rPr>
        <w:t>6</w:t>
      </w:r>
    </w:p>
    <w:p w14:paraId="02000000">
      <w:pPr>
        <w:spacing w:line="230" w:lineRule="exact"/>
        <w:ind/>
        <w:jc w:val="right"/>
        <w:rPr>
          <w:spacing w:val="-1"/>
        </w:rPr>
      </w:pPr>
      <w:r>
        <w:rPr>
          <w:spacing w:val="-1"/>
        </w:rPr>
        <w:t>к протоколу заседания Правления</w:t>
      </w:r>
    </w:p>
    <w:p w14:paraId="03000000">
      <w:pPr>
        <w:spacing w:line="230" w:lineRule="exact"/>
        <w:ind/>
        <w:jc w:val="right"/>
        <w:rPr>
          <w:spacing w:val="-1"/>
        </w:rPr>
      </w:pPr>
      <w:r>
        <w:rPr>
          <w:spacing w:val="-1"/>
        </w:rPr>
        <w:t>Региональной службы по тарифам</w:t>
      </w:r>
    </w:p>
    <w:p w14:paraId="04000000">
      <w:pPr>
        <w:spacing w:line="230" w:lineRule="exact"/>
        <w:ind/>
        <w:jc w:val="right"/>
        <w:rPr>
          <w:spacing w:val="-1"/>
        </w:rPr>
      </w:pPr>
      <w:r>
        <w:rPr>
          <w:spacing w:val="-1"/>
        </w:rPr>
        <w:t>Ростовской области</w:t>
      </w:r>
    </w:p>
    <w:p w14:paraId="05000000">
      <w:pPr>
        <w:spacing w:line="230" w:lineRule="exact"/>
        <w:ind/>
        <w:jc w:val="right"/>
        <w:rPr>
          <w:spacing w:val="4"/>
        </w:rPr>
      </w:pPr>
      <w:r>
        <w:rPr>
          <w:spacing w:val="4"/>
        </w:rPr>
        <w:t xml:space="preserve">от </w:t>
      </w:r>
      <w:r>
        <w:rPr>
          <w:spacing w:val="4"/>
        </w:rPr>
        <w:t>18</w:t>
      </w:r>
      <w:r>
        <w:rPr>
          <w:spacing w:val="4"/>
        </w:rPr>
        <w:t>.1</w:t>
      </w:r>
      <w:r>
        <w:rPr>
          <w:spacing w:val="4"/>
        </w:rPr>
        <w:t>1</w:t>
      </w:r>
      <w:r>
        <w:rPr>
          <w:spacing w:val="4"/>
        </w:rPr>
        <w:t>.</w:t>
      </w:r>
      <w:r>
        <w:rPr>
          <w:spacing w:val="4"/>
        </w:rPr>
        <w:t>202</w:t>
      </w:r>
      <w:r>
        <w:rPr>
          <w:spacing w:val="4"/>
        </w:rPr>
        <w:t>5</w:t>
      </w:r>
      <w:r>
        <w:rPr>
          <w:spacing w:val="4"/>
        </w:rPr>
        <w:t xml:space="preserve"> № </w:t>
      </w:r>
      <w:r>
        <w:rPr>
          <w:spacing w:val="4"/>
        </w:rPr>
        <w:t>50</w:t>
      </w:r>
    </w:p>
    <w:p w14:paraId="06000000">
      <w:pPr>
        <w:spacing w:line="230" w:lineRule="exact"/>
        <w:ind/>
        <w:jc w:val="right"/>
        <w:rPr>
          <w:spacing w:val="4"/>
        </w:rPr>
      </w:pPr>
    </w:p>
    <w:p w14:paraId="07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5950" cy="6159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5950" cy="6159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ind/>
        <w:jc w:val="center"/>
        <w:rPr>
          <w:b w:val="1"/>
          <w:sz w:val="26"/>
        </w:rPr>
      </w:pP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ind/>
        <w:jc w:val="center"/>
        <w:rPr>
          <w:b w:val="1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D000000">
      <w:pPr>
        <w:ind/>
        <w:jc w:val="center"/>
      </w:pPr>
    </w:p>
    <w:p w14:paraId="0E000000">
      <w:pPr>
        <w:ind/>
        <w:jc w:val="center"/>
        <w:rPr>
          <w:sz w:val="28"/>
        </w:rPr>
      </w:pPr>
      <w:r>
        <w:rPr>
          <w:sz w:val="28"/>
        </w:rPr>
        <w:t>18</w:t>
      </w:r>
      <w:r>
        <w:rPr>
          <w:sz w:val="28"/>
        </w:rPr>
        <w:t>.1</w:t>
      </w:r>
      <w:r>
        <w:rPr>
          <w:sz w:val="28"/>
        </w:rPr>
        <w:t>1</w:t>
      </w:r>
      <w:r>
        <w:rPr>
          <w:sz w:val="28"/>
        </w:rPr>
        <w:t>.</w:t>
      </w:r>
      <w:r>
        <w:rPr>
          <w:sz w:val="28"/>
        </w:rPr>
        <w:t>202</w:t>
      </w:r>
      <w:r>
        <w:rPr>
          <w:sz w:val="28"/>
        </w:rPr>
        <w:t>5</w:t>
      </w: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175</w:t>
      </w:r>
    </w:p>
    <w:p w14:paraId="0F000000">
      <w:pPr>
        <w:ind/>
        <w:jc w:val="center"/>
        <w:rPr>
          <w:b w:val="1"/>
        </w:rPr>
      </w:pPr>
    </w:p>
    <w:p w14:paraId="10000000">
      <w:pPr>
        <w:ind/>
        <w:jc w:val="center"/>
        <w:rPr>
          <w:sz w:val="28"/>
        </w:rPr>
      </w:pPr>
      <w:r>
        <w:rPr>
          <w:b w:val="1"/>
          <w:sz w:val="28"/>
        </w:rPr>
        <w:t xml:space="preserve">Об утверждении инвестиционной программы ПАО «ТНС </w:t>
      </w:r>
      <w:r>
        <w:rPr>
          <w:b w:val="1"/>
          <w:sz w:val="28"/>
        </w:rPr>
        <w:t>энерго</w:t>
      </w:r>
      <w:r>
        <w:rPr>
          <w:b w:val="1"/>
          <w:sz w:val="28"/>
        </w:rPr>
        <w:t xml:space="preserve"> Ростов-на-Дону» на </w:t>
      </w:r>
      <w:r>
        <w:rPr>
          <w:b w:val="1"/>
          <w:sz w:val="28"/>
        </w:rPr>
        <w:t>202</w:t>
      </w:r>
      <w:r>
        <w:rPr>
          <w:b w:val="1"/>
          <w:sz w:val="28"/>
        </w:rPr>
        <w:t>8</w:t>
      </w:r>
      <w:r>
        <w:rPr>
          <w:b w:val="1"/>
          <w:sz w:val="28"/>
        </w:rPr>
        <w:t xml:space="preserve"> год и изменений</w:t>
      </w:r>
      <w:r>
        <w:rPr>
          <w:b w:val="1"/>
          <w:sz w:val="28"/>
        </w:rPr>
        <w:t>, вносимых</w:t>
      </w:r>
      <w:r>
        <w:rPr>
          <w:b w:val="1"/>
          <w:sz w:val="28"/>
        </w:rPr>
        <w:t xml:space="preserve"> в инвестиционную программу ПАО «ТНС </w:t>
      </w:r>
      <w:r>
        <w:rPr>
          <w:b w:val="1"/>
          <w:sz w:val="28"/>
        </w:rPr>
        <w:t>энерго</w:t>
      </w:r>
      <w:r>
        <w:rPr>
          <w:b w:val="1"/>
          <w:sz w:val="28"/>
        </w:rPr>
        <w:t xml:space="preserve"> Ростов-на-Дону» на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- 202</w:t>
      </w:r>
      <w:r>
        <w:rPr>
          <w:b w:val="1"/>
          <w:sz w:val="28"/>
        </w:rPr>
        <w:t>7</w:t>
      </w:r>
      <w:r>
        <w:rPr>
          <w:b w:val="1"/>
          <w:sz w:val="28"/>
        </w:rPr>
        <w:t xml:space="preserve"> годы</w:t>
      </w:r>
    </w:p>
    <w:p w14:paraId="11000000">
      <w:pPr>
        <w:ind/>
        <w:jc w:val="center"/>
        <w:rPr>
          <w:sz w:val="28"/>
        </w:rPr>
      </w:pPr>
    </w:p>
    <w:p w14:paraId="12000000">
      <w:pPr>
        <w:widowControl w:val="1"/>
        <w:ind w:firstLine="540" w:left="0"/>
        <w:jc w:val="both"/>
        <w:rPr>
          <w:sz w:val="28"/>
        </w:rPr>
      </w:pPr>
      <w:r>
        <w:rPr>
          <w:sz w:val="28"/>
        </w:rPr>
        <w:t>В соответствии с Федеральным законом от 26.03.2003 № 35-ФЗ</w:t>
      </w:r>
      <w:r>
        <w:rPr>
          <w:sz w:val="28"/>
        </w:rPr>
        <w:t xml:space="preserve"> </w:t>
      </w:r>
      <w:r>
        <w:rPr>
          <w:sz w:val="28"/>
        </w:rPr>
        <w:t>«Об электроэнергетике», постановлением Правительства Российской Федерации</w:t>
      </w:r>
      <w:r>
        <w:rPr>
          <w:sz w:val="28"/>
        </w:rPr>
        <w:t xml:space="preserve"> </w:t>
      </w:r>
      <w:r>
        <w:rPr>
          <w:sz w:val="28"/>
        </w:rPr>
        <w:t>от 01.12.2009 № 977 «Об инвестиционных программах субъектов</w:t>
      </w:r>
      <w:r>
        <w:rPr>
          <w:sz w:val="28"/>
        </w:rPr>
        <w:t xml:space="preserve"> </w:t>
      </w:r>
      <w:r>
        <w:rPr>
          <w:sz w:val="28"/>
        </w:rPr>
        <w:t>электроэнергетики», постановлением Правительства Российской Федерации</w:t>
      </w:r>
      <w:r>
        <w:rPr>
          <w:sz w:val="28"/>
        </w:rPr>
        <w:t xml:space="preserve"> </w:t>
      </w:r>
      <w:r>
        <w:rPr>
          <w:sz w:val="28"/>
        </w:rPr>
        <w:t>от 29.12.2011 № 1178 «О ценообразовании в области регулируемых цен</w:t>
      </w:r>
      <w:r>
        <w:rPr>
          <w:sz w:val="28"/>
        </w:rPr>
        <w:t xml:space="preserve"> </w:t>
      </w:r>
      <w:r>
        <w:rPr>
          <w:sz w:val="28"/>
        </w:rPr>
        <w:t>(тарифов) в электроэнергетике», постановлением Правительства Российской</w:t>
      </w:r>
      <w:r>
        <w:rPr>
          <w:sz w:val="28"/>
        </w:rPr>
        <w:t xml:space="preserve"> </w:t>
      </w:r>
      <w:r>
        <w:rPr>
          <w:sz w:val="28"/>
        </w:rPr>
        <w:t>Федерации от 02.06.2023 № 923 «О внесении изменений в некоторые акты</w:t>
      </w:r>
      <w:r>
        <w:rPr>
          <w:sz w:val="28"/>
        </w:rPr>
        <w:t xml:space="preserve"> </w:t>
      </w:r>
      <w:r>
        <w:rPr>
          <w:sz w:val="28"/>
        </w:rPr>
        <w:t>Правительства Российской Федерации по вопросам утверждения</w:t>
      </w:r>
      <w:r>
        <w:rPr>
          <w:sz w:val="28"/>
        </w:rPr>
        <w:t xml:space="preserve"> </w:t>
      </w:r>
      <w:r>
        <w:rPr>
          <w:sz w:val="28"/>
        </w:rPr>
        <w:t>инвестиционных программ субъектов электроэнергетики», постановлением</w:t>
      </w:r>
      <w:r>
        <w:rPr>
          <w:sz w:val="28"/>
        </w:rPr>
        <w:t xml:space="preserve"> </w:t>
      </w:r>
      <w:r>
        <w:rPr>
          <w:sz w:val="28"/>
        </w:rPr>
        <w:t>Правительства Ростовской области от 13.01.2012 № 4 «О порядке</w:t>
      </w:r>
      <w:r>
        <w:rPr>
          <w:sz w:val="28"/>
        </w:rPr>
        <w:t xml:space="preserve"> </w:t>
      </w:r>
      <w:r>
        <w:rPr>
          <w:sz w:val="28"/>
        </w:rPr>
        <w:t>взаимодействия исполнительных органов Ростовской области при согласовании,</w:t>
      </w:r>
      <w:r>
        <w:rPr>
          <w:sz w:val="28"/>
        </w:rPr>
        <w:t xml:space="preserve"> </w:t>
      </w:r>
      <w:r>
        <w:rPr>
          <w:sz w:val="28"/>
        </w:rPr>
        <w:t>утверждении и контроле за реализацией инвестиционных программ субъектов</w:t>
      </w:r>
      <w:r>
        <w:rPr>
          <w:sz w:val="28"/>
        </w:rPr>
        <w:t xml:space="preserve"> </w:t>
      </w:r>
      <w:r>
        <w:rPr>
          <w:sz w:val="28"/>
        </w:rPr>
        <w:t>электроэнергетики», Положением о Региональной службе по тарифам</w:t>
      </w:r>
      <w:r>
        <w:rPr>
          <w:sz w:val="28"/>
        </w:rPr>
        <w:t xml:space="preserve"> </w:t>
      </w:r>
      <w:r>
        <w:rPr>
          <w:sz w:val="28"/>
        </w:rPr>
        <w:t>Ростовской области, утвержденным постановлением Правительства Ростовской</w:t>
      </w:r>
      <w:r>
        <w:rPr>
          <w:sz w:val="28"/>
        </w:rPr>
        <w:t xml:space="preserve"> </w:t>
      </w:r>
      <w:r>
        <w:rPr>
          <w:sz w:val="28"/>
        </w:rPr>
        <w:t>области от 13.01.2012 № 20, Региональная служба по тарифам Ростовской</w:t>
      </w:r>
      <w:r>
        <w:rPr>
          <w:sz w:val="28"/>
        </w:rPr>
        <w:t xml:space="preserve"> </w:t>
      </w:r>
      <w:r>
        <w:rPr>
          <w:sz w:val="28"/>
        </w:rPr>
        <w:t>области</w:t>
      </w:r>
    </w:p>
    <w:p w14:paraId="13000000">
      <w:pPr>
        <w:tabs>
          <w:tab w:leader="none" w:pos="4770" w:val="left"/>
        </w:tabs>
        <w:ind w:firstLine="720" w:left="0"/>
        <w:jc w:val="both"/>
        <w:rPr>
          <w:sz w:val="28"/>
        </w:rPr>
      </w:pPr>
      <w:r>
        <w:rPr>
          <w:sz w:val="28"/>
        </w:rPr>
        <w:tab/>
      </w:r>
    </w:p>
    <w:p w14:paraId="14000000">
      <w:pPr>
        <w:spacing w:before="10" w:line="298" w:lineRule="exact"/>
        <w:ind/>
        <w:jc w:val="center"/>
        <w:rPr>
          <w:b w:val="1"/>
          <w:spacing w:val="-3"/>
          <w:sz w:val="28"/>
        </w:rPr>
      </w:pPr>
      <w:r>
        <w:rPr>
          <w:b w:val="1"/>
          <w:spacing w:val="-3"/>
          <w:sz w:val="28"/>
        </w:rPr>
        <w:t>постановляет:</w:t>
      </w:r>
    </w:p>
    <w:p w14:paraId="15000000">
      <w:pPr>
        <w:ind w:firstLine="720" w:left="0"/>
        <w:jc w:val="both"/>
        <w:rPr>
          <w:sz w:val="28"/>
        </w:rPr>
      </w:pPr>
    </w:p>
    <w:p w14:paraId="16000000">
      <w:pPr>
        <w:ind w:firstLine="720" w:left="0"/>
        <w:jc w:val="both"/>
        <w:rPr>
          <w:sz w:val="28"/>
        </w:rPr>
      </w:pPr>
      <w:r>
        <w:rPr>
          <w:sz w:val="28"/>
        </w:rPr>
        <w:t xml:space="preserve">1. Утвердить </w:t>
      </w:r>
      <w:r>
        <w:rPr>
          <w:sz w:val="28"/>
        </w:rPr>
        <w:t>инвестиционн</w:t>
      </w:r>
      <w:r>
        <w:rPr>
          <w:sz w:val="28"/>
        </w:rPr>
        <w:t>ую</w:t>
      </w:r>
      <w:r>
        <w:rPr>
          <w:sz w:val="28"/>
        </w:rPr>
        <w:t xml:space="preserve"> программ</w:t>
      </w:r>
      <w:r>
        <w:rPr>
          <w:sz w:val="28"/>
        </w:rPr>
        <w:t>у</w:t>
      </w:r>
      <w:r>
        <w:rPr>
          <w:sz w:val="28"/>
        </w:rPr>
        <w:t xml:space="preserve"> ПАО</w:t>
      </w:r>
      <w:r>
        <w:rPr>
          <w:sz w:val="28"/>
        </w:rPr>
        <w:t xml:space="preserve"> </w:t>
      </w:r>
      <w:r>
        <w:rPr>
          <w:sz w:val="28"/>
        </w:rPr>
        <w:t>«ТНС</w:t>
      </w:r>
      <w:r>
        <w:rPr>
          <w:sz w:val="28"/>
        </w:rPr>
        <w:t xml:space="preserve"> </w:t>
      </w:r>
      <w:r>
        <w:rPr>
          <w:sz w:val="28"/>
        </w:rPr>
        <w:t>энерго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остов-на-</w:t>
      </w:r>
      <w:r>
        <w:rPr>
          <w:sz w:val="28"/>
        </w:rPr>
        <w:t>Д</w:t>
      </w:r>
      <w:r>
        <w:rPr>
          <w:sz w:val="28"/>
        </w:rPr>
        <w:t>ону</w:t>
      </w:r>
      <w:r>
        <w:rPr>
          <w:sz w:val="28"/>
        </w:rPr>
        <w:t>»</w:t>
      </w:r>
      <w:r>
        <w:rPr>
          <w:sz w:val="28"/>
        </w:rPr>
        <w:t xml:space="preserve"> на 202</w:t>
      </w:r>
      <w:r>
        <w:rPr>
          <w:sz w:val="28"/>
        </w:rPr>
        <w:t>8</w:t>
      </w:r>
      <w:r>
        <w:rPr>
          <w:sz w:val="28"/>
        </w:rPr>
        <w:t xml:space="preserve"> год</w:t>
      </w:r>
      <w:r>
        <w:rPr>
          <w:sz w:val="28"/>
        </w:rPr>
        <w:t xml:space="preserve"> </w:t>
      </w:r>
      <w:r>
        <w:rPr>
          <w:sz w:val="28"/>
        </w:rPr>
        <w:t>и изменени</w:t>
      </w:r>
      <w:r>
        <w:rPr>
          <w:sz w:val="28"/>
        </w:rPr>
        <w:t>я</w:t>
      </w:r>
      <w:r>
        <w:rPr>
          <w:sz w:val="28"/>
        </w:rPr>
        <w:t>, вносимые</w:t>
      </w:r>
      <w:r>
        <w:rPr>
          <w:sz w:val="28"/>
        </w:rPr>
        <w:t xml:space="preserve"> в инвестиционную программу</w:t>
      </w:r>
      <w:r>
        <w:rPr>
          <w:sz w:val="28"/>
        </w:rPr>
        <w:t xml:space="preserve"> ПАО</w:t>
      </w:r>
      <w:r>
        <w:rPr>
          <w:sz w:val="28"/>
        </w:rPr>
        <w:t xml:space="preserve"> </w:t>
      </w:r>
      <w:r>
        <w:rPr>
          <w:sz w:val="28"/>
        </w:rPr>
        <w:t>«ТНС</w:t>
      </w:r>
      <w:r>
        <w:rPr>
          <w:sz w:val="28"/>
        </w:rPr>
        <w:t xml:space="preserve"> </w:t>
      </w:r>
      <w:r>
        <w:rPr>
          <w:sz w:val="28"/>
        </w:rPr>
        <w:t>энерго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остов-на-</w:t>
      </w:r>
      <w:r>
        <w:rPr>
          <w:sz w:val="28"/>
        </w:rPr>
        <w:t>Д</w:t>
      </w:r>
      <w:r>
        <w:rPr>
          <w:sz w:val="28"/>
        </w:rPr>
        <w:t>ону</w:t>
      </w:r>
      <w:r>
        <w:rPr>
          <w:sz w:val="28"/>
        </w:rPr>
        <w:t>»</w:t>
      </w:r>
      <w:r>
        <w:rPr>
          <w:sz w:val="28"/>
        </w:rPr>
        <w:t xml:space="preserve"> на 202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202</w:t>
      </w:r>
      <w:r>
        <w:rPr>
          <w:sz w:val="28"/>
        </w:rPr>
        <w:t>7</w:t>
      </w:r>
      <w:r>
        <w:rPr>
          <w:sz w:val="28"/>
        </w:rPr>
        <w:t xml:space="preserve"> годы</w:t>
      </w:r>
      <w:r>
        <w:rPr>
          <w:sz w:val="28"/>
        </w:rPr>
        <w:t xml:space="preserve">, </w:t>
      </w:r>
      <w:r>
        <w:rPr>
          <w:sz w:val="28"/>
        </w:rPr>
        <w:t xml:space="preserve">утвержденную постановлением Региональной службы по тарифам Ростовской области </w:t>
      </w:r>
      <w:r>
        <w:rPr>
          <w:sz w:val="28"/>
        </w:rPr>
        <w:t>от 22.10.2024</w:t>
      </w:r>
      <w:r>
        <w:rPr>
          <w:sz w:val="28"/>
        </w:rPr>
        <w:t xml:space="preserve"> № 178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согласно приложению к постановлению</w:t>
      </w:r>
      <w:r>
        <w:rPr>
          <w:sz w:val="28"/>
        </w:rPr>
        <w:t>.</w:t>
      </w:r>
    </w:p>
    <w:p w14:paraId="17000000">
      <w:pPr>
        <w:ind w:firstLine="720" w:left="0"/>
        <w:jc w:val="both"/>
        <w:rPr>
          <w:sz w:val="28"/>
        </w:rPr>
      </w:pPr>
      <w:r>
        <w:rPr>
          <w:sz w:val="28"/>
        </w:rPr>
        <w:t>2. Постановление вступает в силу со дня его официального опубликования.</w:t>
      </w:r>
    </w:p>
    <w:p w14:paraId="18000000">
      <w:pPr>
        <w:tabs>
          <w:tab w:leader="none" w:pos="872" w:val="left"/>
        </w:tabs>
        <w:spacing w:line="302" w:lineRule="exact"/>
        <w:ind w:hanging="11" w:left="11"/>
        <w:rPr>
          <w:b w:val="1"/>
          <w:sz w:val="28"/>
        </w:rPr>
      </w:pPr>
      <w:bookmarkStart w:id="1" w:name="_GoBack"/>
      <w:bookmarkEnd w:id="1"/>
    </w:p>
    <w:p w14:paraId="19000000">
      <w:pPr>
        <w:tabs>
          <w:tab w:leader="none" w:pos="872" w:val="left"/>
        </w:tabs>
        <w:spacing w:line="302" w:lineRule="exact"/>
        <w:ind w:hanging="11" w:left="11"/>
        <w:rPr>
          <w:b w:val="1"/>
          <w:sz w:val="28"/>
        </w:rPr>
      </w:pPr>
    </w:p>
    <w:p w14:paraId="1A000000">
      <w:pPr>
        <w:tabs>
          <w:tab w:leader="none" w:pos="872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Руководитель</w:t>
      </w:r>
    </w:p>
    <w:p w14:paraId="1B000000">
      <w:pPr>
        <w:tabs>
          <w:tab w:leader="none" w:pos="872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Региональной службы по тарифам</w:t>
      </w:r>
    </w:p>
    <w:p w14:paraId="1C000000">
      <w:pPr>
        <w:tabs>
          <w:tab w:leader="none" w:pos="872" w:val="left"/>
        </w:tabs>
        <w:spacing w:line="302" w:lineRule="exact"/>
        <w:ind w:hanging="11" w:left="11"/>
        <w:rPr>
          <w:b w:val="1"/>
          <w:sz w:val="28"/>
        </w:rPr>
      </w:pPr>
      <w:r>
        <w:rPr>
          <w:b w:val="1"/>
          <w:sz w:val="28"/>
        </w:rPr>
        <w:t>Ростовской области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А.В. Лукьянов</w:t>
      </w:r>
    </w:p>
    <w:sectPr>
      <w:pgSz w:h="16838" w:orient="portrait" w:w="11906"/>
      <w:pgMar w:bottom="568" w:footer="709" w:gutter="0" w:header="425" w:left="1276" w:right="851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sz w:val="20"/>
    </w:rPr>
  </w:style>
  <w:style w:default="1" w:styleId="Style_1_ch" w:type="character">
    <w:name w:val="Normal"/>
    <w:link w:val="Style_1"/>
    <w:rPr>
      <w:sz w:val="20"/>
    </w:rPr>
  </w:style>
  <w:style w:styleId="Style_2" w:type="paragraph">
    <w:name w:val="toc 2"/>
    <w:next w:val="Style_1"/>
    <w:link w:val="Style_2_ch"/>
    <w:uiPriority w:val="39"/>
    <w:pPr>
      <w:ind w:firstLine="0" w:left="200"/>
    </w:pPr>
    <w:rPr>
      <w:rFonts w:ascii="XO Thames" w:hAnsi="XO Thames"/>
    </w:rPr>
  </w:style>
  <w:style w:styleId="Style_2_ch" w:type="character">
    <w:name w:val="toc 2"/>
    <w:link w:val="Style_2"/>
    <w:rPr>
      <w:rFonts w:ascii="XO Thames" w:hAnsi="XO Thames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rFonts w:ascii="XO Thames" w:hAnsi="XO Thames"/>
    </w:rPr>
  </w:style>
  <w:style w:styleId="Style_3_ch" w:type="character">
    <w:name w:val="toc 4"/>
    <w:link w:val="Style_3"/>
    <w:rPr>
      <w:rFonts w:ascii="XO Thames" w:hAnsi="XO Thames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rFonts w:ascii="XO Thames" w:hAnsi="XO Thames"/>
    </w:rPr>
  </w:style>
  <w:style w:styleId="Style_4_ch" w:type="character">
    <w:name w:val="toc 6"/>
    <w:link w:val="Style_4"/>
    <w:rPr>
      <w:rFonts w:ascii="XO Thames" w:hAnsi="XO Thames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rFonts w:ascii="XO Thames" w:hAnsi="XO Thames"/>
    </w:rPr>
  </w:style>
  <w:style w:styleId="Style_5_ch" w:type="character">
    <w:name w:val="toc 7"/>
    <w:link w:val="Style_5"/>
    <w:rPr>
      <w:rFonts w:ascii="XO Thames" w:hAnsi="XO Thames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10"/>
    <w:next w:val="Style_1"/>
    <w:link w:val="Style_7_ch"/>
    <w:pPr>
      <w:ind w:firstLine="0" w:left="1800"/>
    </w:pPr>
    <w:rPr>
      <w:rFonts w:ascii="XO Thames" w:hAnsi="XO Thames"/>
    </w:rPr>
  </w:style>
  <w:style w:styleId="Style_7_ch" w:type="character">
    <w:name w:val="toc 10"/>
    <w:link w:val="Style_7"/>
    <w:rPr>
      <w:rFonts w:ascii="XO Thames" w:hAnsi="XO Thames"/>
    </w:rPr>
  </w:style>
  <w:style w:styleId="Style_8" w:type="paragraph">
    <w:name w:val="ConsPlusNormal"/>
    <w:link w:val="Style_8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8_ch" w:type="character">
    <w:name w:val="ConsPlusNormal"/>
    <w:link w:val="Style_8"/>
    <w:rPr>
      <w:rFonts w:ascii="Arial" w:hAnsi="Arial"/>
      <w:sz w:val="20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toc 3"/>
    <w:next w:val="Style_1"/>
    <w:link w:val="Style_10_ch"/>
    <w:uiPriority w:val="39"/>
    <w:pPr>
      <w:ind w:firstLine="0" w:left="400"/>
    </w:pPr>
    <w:rPr>
      <w:rFonts w:ascii="XO Thames" w:hAnsi="XO Thames"/>
    </w:rPr>
  </w:style>
  <w:style w:styleId="Style_10_ch" w:type="character">
    <w:name w:val="toc 3"/>
    <w:link w:val="Style_10"/>
    <w:rPr>
      <w:rFonts w:ascii="XO Thames" w:hAnsi="XO Thames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Balloon Text"/>
    <w:basedOn w:val="Style_1"/>
    <w:link w:val="Style_19_ch"/>
    <w:rPr>
      <w:rFonts w:ascii="Tahoma" w:hAnsi="Tahoma"/>
      <w:sz w:val="16"/>
    </w:rPr>
  </w:style>
  <w:style w:styleId="Style_19_ch" w:type="character">
    <w:name w:val="Balloon Text"/>
    <w:basedOn w:val="Style_1_ch"/>
    <w:link w:val="Style_19"/>
    <w:rPr>
      <w:rFonts w:ascii="Tahoma" w:hAnsi="Tahoma"/>
      <w:sz w:val="16"/>
    </w:rPr>
  </w:style>
  <w:style w:styleId="Style_20" w:type="paragraph">
    <w:name w:val="toc 9"/>
    <w:next w:val="Style_1"/>
    <w:link w:val="Style_20_ch"/>
    <w:uiPriority w:val="39"/>
    <w:pPr>
      <w:ind w:firstLine="0" w:left="1600"/>
    </w:pPr>
    <w:rPr>
      <w:rFonts w:ascii="XO Thames" w:hAnsi="XO Thames"/>
    </w:rPr>
  </w:style>
  <w:style w:styleId="Style_20_ch" w:type="character">
    <w:name w:val="toc 9"/>
    <w:link w:val="Style_20"/>
    <w:rPr>
      <w:rFonts w:ascii="XO Thames" w:hAnsi="XO Thames"/>
    </w:rPr>
  </w:style>
  <w:style w:styleId="Style_21" w:type="paragraph">
    <w:name w:val="Обычный1"/>
    <w:link w:val="Style_21_ch"/>
    <w:rPr>
      <w:sz w:val="20"/>
    </w:rPr>
  </w:style>
  <w:style w:styleId="Style_21_ch" w:type="character">
    <w:name w:val="Обычный1"/>
    <w:link w:val="Style_21"/>
    <w:rPr>
      <w:sz w:val="20"/>
    </w:rPr>
  </w:style>
  <w:style w:styleId="Style_22" w:type="paragraph">
    <w:name w:val="toc 8"/>
    <w:next w:val="Style_1"/>
    <w:link w:val="Style_22_ch"/>
    <w:uiPriority w:val="39"/>
    <w:pPr>
      <w:ind w:firstLine="0" w:left="1400"/>
    </w:pPr>
    <w:rPr>
      <w:rFonts w:ascii="XO Thames" w:hAnsi="XO Thames"/>
    </w:rPr>
  </w:style>
  <w:style w:styleId="Style_22_ch" w:type="character">
    <w:name w:val="toc 8"/>
    <w:link w:val="Style_22"/>
    <w:rPr>
      <w:rFonts w:ascii="XO Thames" w:hAnsi="XO Thames"/>
    </w:rPr>
  </w:style>
  <w:style w:styleId="Style_23" w:type="paragraph">
    <w:name w:val="header"/>
    <w:basedOn w:val="Style_1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1_ch"/>
    <w:link w:val="Style_23"/>
  </w:style>
  <w:style w:styleId="Style_24" w:type="paragraph">
    <w:name w:val="toc 5"/>
    <w:next w:val="Style_1"/>
    <w:link w:val="Style_24_ch"/>
    <w:uiPriority w:val="39"/>
    <w:pPr>
      <w:ind w:firstLine="0" w:left="800"/>
    </w:pPr>
    <w:rPr>
      <w:rFonts w:ascii="XO Thames" w:hAnsi="XO Thames"/>
    </w:rPr>
  </w:style>
  <w:style w:styleId="Style_24_ch" w:type="character">
    <w:name w:val="toc 5"/>
    <w:link w:val="Style_24"/>
    <w:rPr>
      <w:rFonts w:ascii="XO Thames" w:hAnsi="XO Thames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footer"/>
    <w:basedOn w:val="Style_1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1_ch"/>
    <w:link w:val="Style_26"/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List Paragraph"/>
    <w:basedOn w:val="Style_1"/>
    <w:link w:val="Style_29_ch"/>
    <w:pPr>
      <w:ind w:firstLine="0" w:left="720"/>
      <w:contextualSpacing w:val="1"/>
    </w:pPr>
  </w:style>
  <w:style w:styleId="Style_29_ch" w:type="character">
    <w:name w:val="List Paragraph"/>
    <w:basedOn w:val="Style_1_ch"/>
    <w:link w:val="Style_29"/>
  </w:style>
  <w:style w:styleId="Style_30" w:type="paragraph">
    <w:name w:val="heading 2"/>
    <w:next w:val="Style_1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</w:rPr>
  </w:style>
  <w:style w:styleId="Style_30_ch" w:type="character">
    <w:name w:val="heading 2"/>
    <w:link w:val="Style_30"/>
    <w:rPr>
      <w:rFonts w:ascii="XO Thames" w:hAnsi="XO Thames"/>
      <w:b w:val="1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2025-11-19T11:06:17Z</dcterms:modified>
</cp:coreProperties>
</file>