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 w:firstLine="0" w:left="851" w:right="19"/>
        <w:jc w:val="right"/>
        <w:rPr>
          <w:sz w:val="20"/>
        </w:rPr>
      </w:pPr>
      <w:r>
        <w:rPr>
          <w:sz w:val="20"/>
        </w:rPr>
        <w:t xml:space="preserve">Приложение № </w:t>
      </w:r>
      <w:r>
        <w:rPr>
          <w:sz w:val="20"/>
        </w:rPr>
        <w:t>21</w:t>
      </w:r>
    </w:p>
    <w:p w14:paraId="03000000">
      <w:pPr>
        <w:ind w:firstLine="0" w:left="851" w:right="19"/>
        <w:jc w:val="right"/>
        <w:rPr>
          <w:sz w:val="20"/>
        </w:rPr>
      </w:pPr>
      <w:r>
        <w:rPr>
          <w:sz w:val="20"/>
        </w:rPr>
        <w:t xml:space="preserve">к протоколу заседания Правления </w:t>
      </w:r>
    </w:p>
    <w:p w14:paraId="04000000">
      <w:pPr>
        <w:ind w:firstLine="0" w:left="851" w:right="17"/>
        <w:jc w:val="right"/>
        <w:rPr>
          <w:sz w:val="20"/>
        </w:rPr>
      </w:pPr>
      <w:r>
        <w:rPr>
          <w:sz w:val="20"/>
        </w:rPr>
        <w:t xml:space="preserve">Региональной службы по тарифам </w:t>
      </w:r>
    </w:p>
    <w:p w14:paraId="05000000">
      <w:pPr>
        <w:ind w:firstLine="0" w:left="851" w:right="19"/>
        <w:jc w:val="right"/>
        <w:rPr>
          <w:sz w:val="20"/>
        </w:rPr>
      </w:pPr>
      <w:r>
        <w:rPr>
          <w:sz w:val="20"/>
        </w:rPr>
        <w:t xml:space="preserve">Ростовской области </w:t>
      </w:r>
    </w:p>
    <w:p w14:paraId="06000000">
      <w:pPr>
        <w:ind w:firstLine="0" w:left="851" w:right="19"/>
        <w:jc w:val="right"/>
        <w:rPr>
          <w:sz w:val="20"/>
        </w:rPr>
      </w:pPr>
      <w:r>
        <w:rPr>
          <w:sz w:val="20"/>
        </w:rPr>
        <w:t xml:space="preserve">от </w:t>
      </w:r>
      <w:r>
        <w:rPr>
          <w:sz w:val="20"/>
        </w:rPr>
        <w:t>21</w:t>
      </w:r>
      <w:r>
        <w:rPr>
          <w:sz w:val="20"/>
        </w:rPr>
        <w:t>.</w:t>
      </w:r>
      <w:r>
        <w:rPr>
          <w:sz w:val="20"/>
        </w:rPr>
        <w:t>11</w:t>
      </w:r>
      <w:r>
        <w:rPr>
          <w:sz w:val="20"/>
        </w:rPr>
        <w:t>.202</w:t>
      </w:r>
      <w:r>
        <w:rPr>
          <w:sz w:val="20"/>
        </w:rPr>
        <w:t>4</w:t>
      </w:r>
      <w:r>
        <w:rPr>
          <w:sz w:val="20"/>
        </w:rPr>
        <w:t xml:space="preserve">  №</w:t>
      </w:r>
      <w:r>
        <w:rPr>
          <w:sz w:val="20"/>
        </w:rPr>
        <w:t xml:space="preserve"> </w:t>
      </w:r>
      <w:r>
        <w:rPr>
          <w:sz w:val="20"/>
        </w:rPr>
        <w:t>64</w:t>
      </w:r>
    </w:p>
    <w:p w14:paraId="07000000">
      <w:pPr>
        <w:rPr>
          <w:b w:val="1"/>
          <w:sz w:val="20"/>
        </w:rPr>
      </w:pPr>
    </w:p>
    <w:p w14:paraId="08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7220" cy="617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17220" cy="61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ind/>
        <w:jc w:val="center"/>
        <w:rPr>
          <w:b w:val="1"/>
          <w:sz w:val="16"/>
        </w:rPr>
      </w:pP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B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C000000">
      <w:pPr>
        <w:ind/>
        <w:jc w:val="center"/>
        <w:rPr>
          <w:b w:val="1"/>
          <w:sz w:val="20"/>
        </w:rPr>
      </w:pPr>
    </w:p>
    <w:p w14:paraId="0D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E000000">
      <w:pPr>
        <w:ind w:right="665"/>
        <w:rPr>
          <w:sz w:val="18"/>
        </w:rPr>
      </w:pPr>
    </w:p>
    <w:p w14:paraId="0F000000">
      <w:pPr>
        <w:ind w:right="665"/>
        <w:rPr>
          <w:sz w:val="28"/>
        </w:rPr>
      </w:pPr>
    </w:p>
    <w:p w14:paraId="10000000">
      <w:pPr>
        <w:ind w:right="665"/>
        <w:rPr>
          <w:sz w:val="28"/>
        </w:rPr>
      </w:pPr>
      <w:r>
        <w:rPr>
          <w:sz w:val="28"/>
        </w:rPr>
        <w:t>21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                                 г. Ростов-на-Дону                           № </w:t>
      </w:r>
      <w:r>
        <w:rPr>
          <w:sz w:val="28"/>
        </w:rPr>
        <w:t>536</w:t>
      </w:r>
      <w:bookmarkStart w:id="1" w:name="_GoBack"/>
      <w:bookmarkEnd w:id="1"/>
    </w:p>
    <w:p w14:paraId="11000000">
      <w:pPr>
        <w:ind w:right="665"/>
        <w:rPr>
          <w:sz w:val="18"/>
        </w:rPr>
      </w:pPr>
    </w:p>
    <w:p w14:paraId="12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О корректировке долгосрочных тарифов на тепловую энергию, поставляемую</w:t>
      </w:r>
    </w:p>
    <w:p w14:paraId="13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ООО «</w:t>
      </w:r>
      <w:r>
        <w:rPr>
          <w:b w:val="1"/>
          <w:sz w:val="26"/>
        </w:rPr>
        <w:t>Донэнерго</w:t>
      </w:r>
      <w:r>
        <w:rPr>
          <w:b w:val="1"/>
          <w:sz w:val="26"/>
        </w:rPr>
        <w:t xml:space="preserve"> Тепловые сети» (ИНН 6141040790) потребителям, другим теплоснабжающим организациям Ростовской области, </w:t>
      </w:r>
    </w:p>
    <w:p w14:paraId="14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на 202</w:t>
      </w:r>
      <w:r>
        <w:rPr>
          <w:b w:val="1"/>
          <w:sz w:val="26"/>
        </w:rPr>
        <w:t>5</w:t>
      </w:r>
      <w:r>
        <w:rPr>
          <w:b w:val="1"/>
          <w:sz w:val="26"/>
        </w:rPr>
        <w:t xml:space="preserve"> год</w:t>
      </w:r>
    </w:p>
    <w:p w14:paraId="15000000">
      <w:pPr>
        <w:ind w:firstLine="540" w:left="0"/>
        <w:jc w:val="both"/>
        <w:rPr>
          <w:sz w:val="26"/>
        </w:rPr>
      </w:pPr>
      <w:r>
        <w:rPr>
          <w:sz w:val="26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приказом Федеральной службы по тарифам от 13.06.2013 № 760-э «Об утверждении Методических указаний по расчету регулируемых цен (тарифов) в сфере теплоснабжения», приказом Федеральной службы по тарифам от 07.06.2013 № 163 «Об утверждении Регламента открытия дел об установлении регулируемых цен (тарифов) и отмене регулирования тарифов в сфере теплоснабжения»,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 </w:t>
      </w:r>
    </w:p>
    <w:p w14:paraId="16000000">
      <w:pPr>
        <w:ind w:firstLine="540" w:left="0"/>
        <w:jc w:val="both"/>
        <w:rPr>
          <w:sz w:val="26"/>
        </w:rPr>
      </w:pPr>
    </w:p>
    <w:p w14:paraId="17000000">
      <w:pPr>
        <w:ind w:firstLine="540" w:left="0"/>
        <w:jc w:val="center"/>
        <w:rPr>
          <w:b w:val="1"/>
          <w:sz w:val="26"/>
        </w:rPr>
      </w:pPr>
      <w:r>
        <w:rPr>
          <w:b w:val="1"/>
          <w:sz w:val="26"/>
        </w:rPr>
        <w:t>постановляет:</w:t>
      </w:r>
    </w:p>
    <w:p w14:paraId="18000000">
      <w:pPr>
        <w:ind w:firstLine="709" w:left="0"/>
        <w:jc w:val="both"/>
        <w:rPr>
          <w:sz w:val="26"/>
        </w:rPr>
      </w:pPr>
      <w:r>
        <w:rPr>
          <w:sz w:val="26"/>
        </w:rPr>
        <w:t>1. Внести изменение в приложение № 1 к постановлению Региональной службы по тарифам Ростовской области от 25.11.2022 № 67/22</w:t>
      </w:r>
      <w:r>
        <w:rPr>
          <w:rStyle w:val="Style_1_ch"/>
          <w:sz w:val="26"/>
        </w:rPr>
        <w:t xml:space="preserve"> «Об установлении тарифов на тепловую энергию, поставляемую ООО «</w:t>
      </w:r>
      <w:r>
        <w:rPr>
          <w:rStyle w:val="Style_1_ch"/>
          <w:sz w:val="26"/>
        </w:rPr>
        <w:t>Донэнерго</w:t>
      </w:r>
      <w:r>
        <w:rPr>
          <w:rStyle w:val="Style_1_ch"/>
          <w:sz w:val="26"/>
        </w:rPr>
        <w:t xml:space="preserve"> Тепловые сети» (ИНН 6141040790) потребителям, другим теплоснабжающим организациям Ростовской области, на 2023-2025 годы», изложив значения тари</w:t>
      </w:r>
      <w:r>
        <w:rPr>
          <w:sz w:val="26"/>
        </w:rPr>
        <w:t>фов на тепловую энергию на 202</w:t>
      </w:r>
      <w:r>
        <w:rPr>
          <w:sz w:val="26"/>
        </w:rPr>
        <w:t>5</w:t>
      </w:r>
      <w:r>
        <w:rPr>
          <w:sz w:val="26"/>
        </w:rPr>
        <w:t xml:space="preserve"> год в редакции согласно приложению к настоящему постановлению.</w:t>
      </w:r>
    </w:p>
    <w:p w14:paraId="19000000">
      <w:pPr>
        <w:ind w:firstLine="709" w:left="0"/>
        <w:jc w:val="both"/>
        <w:rPr>
          <w:sz w:val="26"/>
        </w:rPr>
      </w:pPr>
      <w:r>
        <w:rPr>
          <w:sz w:val="26"/>
        </w:rPr>
        <w:t>2. 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 - телекоммуникационной сети «Интернет» http://rst.donland.ru и вступает в силу со дня его официального опубликования.</w:t>
      </w:r>
    </w:p>
    <w:p w14:paraId="1A000000">
      <w:pPr>
        <w:ind/>
        <w:jc w:val="both"/>
        <w:rPr>
          <w:b w:val="1"/>
          <w:sz w:val="26"/>
        </w:rPr>
      </w:pPr>
    </w:p>
    <w:p w14:paraId="1B000000">
      <w:pPr>
        <w:ind/>
        <w:jc w:val="both"/>
        <w:rPr>
          <w:b w:val="1"/>
          <w:sz w:val="26"/>
        </w:rPr>
      </w:pPr>
      <w:r>
        <w:rPr>
          <w:b w:val="1"/>
          <w:sz w:val="26"/>
        </w:rPr>
        <w:t xml:space="preserve">Руководитель </w:t>
      </w:r>
    </w:p>
    <w:p w14:paraId="1C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6"/>
        </w:rPr>
      </w:pPr>
      <w:r>
        <w:rPr>
          <w:b w:val="1"/>
          <w:sz w:val="26"/>
        </w:rPr>
        <w:t xml:space="preserve">Региональной службы по тарифам </w:t>
      </w:r>
    </w:p>
    <w:p w14:paraId="1D000000">
      <w:pPr>
        <w:ind/>
        <w:jc w:val="both"/>
        <w:rPr>
          <w:b w:val="1"/>
          <w:sz w:val="26"/>
        </w:rPr>
      </w:pPr>
      <w:r>
        <w:rPr>
          <w:b w:val="1"/>
          <w:sz w:val="26"/>
        </w:rPr>
        <w:t>Ростовской области</w:t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 xml:space="preserve">                А.В. Лукьянов</w:t>
      </w:r>
    </w:p>
    <w:sectPr>
      <w:headerReference r:id="rId1" w:type="default"/>
      <w:pgSz w:h="16838" w:orient="portrait" w:w="11906"/>
      <w:pgMar w:bottom="284" w:footer="709" w:gutter="0" w:header="709" w:left="1701" w:right="851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Balloon Text"/>
    <w:basedOn w:val="Style_2"/>
    <w:link w:val="Style_3_ch"/>
    <w:rPr>
      <w:rFonts w:ascii="Tahoma" w:hAnsi="Tahoma"/>
      <w:sz w:val="16"/>
    </w:rPr>
  </w:style>
  <w:style w:styleId="Style_3_ch" w:type="character">
    <w:name w:val="Balloon Text"/>
    <w:basedOn w:val="Style_2_ch"/>
    <w:link w:val="Style_3"/>
    <w:rPr>
      <w:rFonts w:ascii="Tahoma" w:hAnsi="Tahoma"/>
      <w:sz w:val="16"/>
    </w:rPr>
  </w:style>
  <w:style w:styleId="Style_4" w:type="paragraph">
    <w:name w:val="toc 2"/>
    <w:next w:val="Style_2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footer"/>
    <w:basedOn w:val="Style_2"/>
    <w:link w:val="Style_8_ch"/>
    <w:pPr>
      <w:tabs>
        <w:tab w:leader="none" w:pos="4677" w:val="center"/>
        <w:tab w:leader="none" w:pos="9355" w:val="right"/>
      </w:tabs>
      <w:ind/>
    </w:pPr>
  </w:style>
  <w:style w:styleId="Style_8_ch" w:type="character">
    <w:name w:val="footer"/>
    <w:basedOn w:val="Style_2_ch"/>
    <w:link w:val="Style_8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header"/>
    <w:basedOn w:val="Style_2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2_ch"/>
    <w:link w:val="Style_11"/>
  </w:style>
  <w:style w:styleId="Style_12" w:type="paragraph">
    <w:name w:val="toc 3"/>
    <w:next w:val="Style_2"/>
    <w:link w:val="Style_12_ch"/>
    <w:uiPriority w:val="39"/>
    <w:pPr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Обычный1"/>
    <w:link w:val="Style_14_ch"/>
    <w:rPr>
      <w:sz w:val="24"/>
    </w:rPr>
  </w:style>
  <w:style w:styleId="Style_14_ch" w:type="character">
    <w:name w:val="Обычный1"/>
    <w:link w:val="Style_14"/>
    <w:rPr>
      <w:sz w:val="24"/>
    </w:rPr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ind/>
      <w:jc w:val="both"/>
    </w:pPr>
    <w:rPr>
      <w:rFonts w:ascii="XO Thames" w:hAnsi="XO Thames"/>
    </w:rPr>
  </w:style>
  <w:style w:styleId="Style_19_ch" w:type="character">
    <w:name w:val="Header and Footer"/>
    <w:link w:val="Style_19"/>
    <w:rPr>
      <w:rFonts w:ascii="XO Thames" w:hAnsi="XO Thames"/>
    </w:rPr>
  </w:style>
  <w:style w:styleId="Style_20" w:type="paragraph">
    <w:name w:val="toc 9"/>
    <w:next w:val="Style_2"/>
    <w:link w:val="Style_20_ch"/>
    <w:uiPriority w:val="39"/>
    <w:pPr>
      <w:ind w:firstLine="0" w:left="1600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10"/>
    <w:next w:val="Style_2"/>
    <w:link w:val="Style_21_ch"/>
    <w:pPr>
      <w:ind w:firstLine="0" w:left="1800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ind w:firstLine="0"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Гиперссылка1"/>
    <w:link w:val="Style_23_ch"/>
    <w:rPr>
      <w:color w:val="0000FF"/>
      <w:u w:val="single"/>
    </w:rPr>
  </w:style>
  <w:style w:styleId="Style_23_ch" w:type="character">
    <w:name w:val="Гиперссылка1"/>
    <w:link w:val="Style_23"/>
    <w:rPr>
      <w:color w:val="0000FF"/>
      <w:u w:val="single"/>
    </w:rPr>
  </w:style>
  <w:style w:styleId="Style_24" w:type="paragraph">
    <w:name w:val="ConsPlusNonformat"/>
    <w:link w:val="Style_24_ch"/>
    <w:pPr>
      <w:widowControl w:val="0"/>
      <w:ind/>
    </w:pPr>
    <w:rPr>
      <w:rFonts w:ascii="Courier New" w:hAnsi="Courier New"/>
    </w:rPr>
  </w:style>
  <w:style w:styleId="Style_24_ch" w:type="character">
    <w:name w:val="ConsPlusNonformat"/>
    <w:link w:val="Style_24"/>
    <w:rPr>
      <w:rFonts w:ascii="Courier New" w:hAnsi="Courier New"/>
    </w:rPr>
  </w:style>
  <w:style w:styleId="Style_25" w:type="paragraph">
    <w:name w:val="ConsPlusNormal"/>
    <w:link w:val="Style_25_ch"/>
    <w:rPr>
      <w:sz w:val="28"/>
    </w:rPr>
  </w:style>
  <w:style w:styleId="Style_25_ch" w:type="character">
    <w:name w:val="ConsPlusNormal"/>
    <w:link w:val="Style_25"/>
    <w:rPr>
      <w:sz w:val="28"/>
    </w:rPr>
  </w:style>
  <w:style w:styleId="Style_26" w:type="paragraph">
    <w:name w:val="toc 5"/>
    <w:next w:val="Style_2"/>
    <w:link w:val="Style_26_ch"/>
    <w:uiPriority w:val="39"/>
    <w:pPr>
      <w:ind w:firstLine="0" w:left="800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Знак1 Знак Знак Знак"/>
    <w:basedOn w:val="Style_2"/>
    <w:link w:val="Style_27_ch"/>
    <w:pPr>
      <w:spacing w:afterAutospacing="on" w:beforeAutospacing="on"/>
      <w:ind/>
    </w:pPr>
    <w:rPr>
      <w:rFonts w:ascii="Tahoma" w:hAnsi="Tahoma"/>
      <w:sz w:val="20"/>
    </w:rPr>
  </w:style>
  <w:style w:styleId="Style_27_ch" w:type="character">
    <w:name w:val="Знак1 Знак Знак Знак"/>
    <w:basedOn w:val="Style_2_ch"/>
    <w:link w:val="Style_27"/>
    <w:rPr>
      <w:rFonts w:ascii="Tahoma" w:hAnsi="Tahoma"/>
      <w:sz w:val="20"/>
    </w:rPr>
  </w:style>
  <w:style w:styleId="Style_28" w:type="paragraph">
    <w:name w:val="Subtitle"/>
    <w:next w:val="Style_2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Основной шрифт абзаца1"/>
    <w:link w:val="Style_29_ch"/>
  </w:style>
  <w:style w:styleId="Style_29_ch" w:type="character">
    <w:name w:val="Основной шрифт абзаца1"/>
    <w:link w:val="Style_29"/>
  </w:style>
  <w:style w:styleId="Style_30" w:type="paragraph">
    <w:name w:val="Основной шрифт абзаца2"/>
    <w:link w:val="Style_30_ch"/>
  </w:style>
  <w:style w:styleId="Style_30_ch" w:type="character">
    <w:name w:val="Основной шрифт абзаца2"/>
    <w:link w:val="Style_30"/>
  </w:style>
  <w:style w:styleId="Style_31" w:type="paragraph">
    <w:name w:val="Гиперссылка2"/>
    <w:link w:val="Style_31_ch"/>
    <w:rPr>
      <w:color w:val="0000FF"/>
      <w:u w:val="single"/>
    </w:rPr>
  </w:style>
  <w:style w:styleId="Style_31_ch" w:type="character">
    <w:name w:val="Гиперссылка2"/>
    <w:link w:val="Style_31"/>
    <w:rPr>
      <w:color w:val="0000FF"/>
      <w:u w:val="single"/>
    </w:rPr>
  </w:style>
  <w:style w:styleId="Style_1" w:type="paragraph">
    <w:name w:val="Обычный1"/>
    <w:link w:val="Style_1_ch"/>
    <w:rPr>
      <w:sz w:val="24"/>
    </w:rPr>
  </w:style>
  <w:style w:styleId="Style_1_ch" w:type="character">
    <w:name w:val="Обычный1"/>
    <w:link w:val="Style_1"/>
    <w:rPr>
      <w:sz w:val="24"/>
    </w:rPr>
  </w:style>
  <w:style w:styleId="Style_32" w:type="paragraph">
    <w:name w:val="Title"/>
    <w:next w:val="Style_2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2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2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2024-11-25T05:54:38Z</dcterms:modified>
</cp:coreProperties>
</file>