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5282"/>
        <w:gridCol w:w="4639"/>
      </w:tblGrid>
      <w:tr>
        <w:trPr>
          <w:trHeight w:hRule="atLeast" w:val="1078"/>
        </w:trPr>
        <w:tc>
          <w:tcPr>
            <w:tcW w:type="dxa" w:w="5282"/>
          </w:tcPr>
          <w:p w14:paraId="01000000">
            <w:pPr>
              <w:spacing w:before="14" w:line="264" w:lineRule="exact"/>
              <w:ind w:right="-55"/>
            </w:pPr>
          </w:p>
        </w:tc>
        <w:tc>
          <w:tcPr>
            <w:tcW w:type="dxa" w:w="4639"/>
          </w:tcPr>
          <w:p w14:paraId="02000000">
            <w:pPr>
              <w:ind w:firstLine="0" w:left="851"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4</w:t>
            </w:r>
          </w:p>
          <w:p w14:paraId="03000000">
            <w:pPr>
              <w:ind w:firstLine="0" w:left="851"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протоколу заседания Правления </w:t>
            </w:r>
          </w:p>
          <w:p w14:paraId="04000000">
            <w:pPr>
              <w:ind w:firstLine="0" w:left="851" w:right="1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Региональной службы по тарифам </w:t>
            </w:r>
          </w:p>
          <w:p w14:paraId="05000000">
            <w:pPr>
              <w:ind w:firstLine="0" w:left="851"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Ростовской области </w:t>
            </w:r>
          </w:p>
          <w:p w14:paraId="06000000">
            <w:pPr>
              <w:ind w:firstLine="0" w:left="851"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27</w:t>
            </w:r>
            <w:r>
              <w:rPr>
                <w:sz w:val="20"/>
              </w:rPr>
              <w:t xml:space="preserve">.12.2024 № </w:t>
            </w:r>
            <w:r>
              <w:rPr>
                <w:sz w:val="20"/>
              </w:rPr>
              <w:t>79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sz w:val="28"/>
        </w:rPr>
      </w:pPr>
      <w:r>
        <w:rPr>
          <w:sz w:val="28"/>
        </w:rPr>
        <w:t>27</w:t>
      </w:r>
      <w:r>
        <w:rPr>
          <w:sz w:val="28"/>
        </w:rPr>
        <w:t>.12.2024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827</w:t>
      </w:r>
    </w:p>
    <w:p w14:paraId="0F000000">
      <w:pPr>
        <w:ind/>
        <w:jc w:val="center"/>
        <w:rPr>
          <w:b w:val="1"/>
          <w:sz w:val="26"/>
        </w:rPr>
      </w:pPr>
    </w:p>
    <w:p w14:paraId="10000000">
      <w:pPr>
        <w:pStyle w:val="Style_3"/>
        <w:rPr>
          <w:b w:val="1"/>
          <w:sz w:val="28"/>
        </w:rPr>
      </w:pPr>
      <w:r>
        <w:rPr>
          <w:b w:val="1"/>
          <w:sz w:val="28"/>
        </w:rPr>
        <w:t>Об утверждении размера специальных надбавок к тарифам на услуги по транспортировке газа по газораспределительным сетям ПАО «Газпром газораспределение Ростов-на-Дону», предназначенных для финансирования программы газификации жилищно-коммунального хозяйства, промышленных и иных организаций Ростовской области, на 2025 год</w:t>
      </w:r>
    </w:p>
    <w:p w14:paraId="11000000">
      <w:pPr>
        <w:pStyle w:val="Style_4"/>
        <w:widowControl w:val="1"/>
        <w:ind/>
        <w:rPr>
          <w:rFonts w:ascii="Times New Roman" w:hAnsi="Times New Roman"/>
          <w:b w:val="1"/>
          <w:sz w:val="28"/>
        </w:rPr>
      </w:pPr>
    </w:p>
    <w:p w14:paraId="1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постановлением Правительства Российской Федерации от 03.05.2001 № 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для финансирования программы газификации жилищно-коммунального хозяйства, промышленных и иных организаций, расположенных на территориях субъектов Российской Федерации», Методикой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газификации, утвержденной приказом Федеральной службы по тарифам от 21.06.2011 № 154-э/4,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</w:t>
      </w:r>
    </w:p>
    <w:p w14:paraId="13000000">
      <w:pPr>
        <w:pStyle w:val="Style_5"/>
        <w:widowControl w:val="1"/>
        <w:spacing w:after="240" w:before="240"/>
        <w:ind w:firstLine="53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4000000">
      <w:pPr>
        <w:tabs>
          <w:tab w:leader="none" w:pos="1214" w:val="left"/>
        </w:tabs>
        <w:ind w:firstLine="725" w:left="0"/>
        <w:jc w:val="both"/>
        <w:rPr>
          <w:sz w:val="28"/>
        </w:rPr>
      </w:pPr>
      <w:r>
        <w:rPr>
          <w:sz w:val="28"/>
        </w:rPr>
        <w:t xml:space="preserve">1. Утвердить размеры специальных надбавок к тарифам на услуги по транспортировке газа по газораспределительным сетям ПАО «Газпром газораспределение Ростов-на-Дону», предназначенных для финансирования программы газификации жилищно-коммунального хозяйства, промышленных и иных организаций Ростовской области, на 2025 год согласно приложению к постановлению. </w:t>
      </w:r>
    </w:p>
    <w:p w14:paraId="15000000">
      <w:pPr>
        <w:tabs>
          <w:tab w:leader="none" w:pos="1214" w:val="left"/>
        </w:tabs>
        <w:ind w:firstLine="725" w:left="0"/>
        <w:jc w:val="both"/>
        <w:rPr>
          <w:sz w:val="28"/>
        </w:rPr>
      </w:pPr>
      <w:r>
        <w:rPr>
          <w:sz w:val="28"/>
        </w:rPr>
        <w:t xml:space="preserve">2. Признать утратившим силу постановление Региональной службы по тарифам Ростовской области от 29.12.2023 № 919 «Об утверждении размера специальных надбавок к тарифам на услуги по транспортировке газа по газораспределительным сетям ПАО «Газпром газораспределение Ростов-на-Дону», </w:t>
      </w:r>
      <w:r>
        <w:rPr>
          <w:sz w:val="28"/>
        </w:rPr>
        <w:t>предназначенных для финансирования программы газификации жилищно-коммунального хозяйства, промышленных и иных организаций Ростовской области, на 2024 год».</w:t>
      </w:r>
    </w:p>
    <w:p w14:paraId="16000000">
      <w:pPr>
        <w:pStyle w:val="Style_5"/>
        <w:widowControl w:val="1"/>
        <w:spacing w:after="12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Style w:val="Style_6_ch"/>
          <w:rFonts w:ascii="Times New Roman" w:hAnsi="Times New Roman"/>
          <w:sz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</w:t>
      </w:r>
      <w:r>
        <w:rPr>
          <w:rFonts w:ascii="Times New Roman" w:hAnsi="Times New Roman"/>
          <w:sz w:val="28"/>
        </w:rPr>
        <w:t xml:space="preserve">с 1 января 2025 года. </w:t>
      </w:r>
    </w:p>
    <w:p w14:paraId="17000000">
      <w:pPr>
        <w:pStyle w:val="Style_5"/>
        <w:widowControl w:val="1"/>
        <w:spacing w:after="120"/>
        <w:ind/>
        <w:jc w:val="both"/>
        <w:rPr>
          <w:rFonts w:ascii="Times New Roman" w:hAnsi="Times New Roman"/>
          <w:sz w:val="28"/>
        </w:rPr>
      </w:pPr>
    </w:p>
    <w:p w14:paraId="18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Руководитель</w:t>
      </w:r>
    </w:p>
    <w:p w14:paraId="19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1A000000">
      <w:pPr>
        <w:tabs>
          <w:tab w:leader="none" w:pos="850" w:val="left"/>
        </w:tabs>
        <w:spacing w:line="302" w:lineRule="exact"/>
        <w:ind w:hanging="11" w:left="11"/>
        <w:rPr>
          <w:b w:val="1"/>
        </w:rPr>
      </w:pPr>
      <w:r>
        <w:rPr>
          <w:b w:val="1"/>
          <w:sz w:val="28"/>
        </w:rPr>
        <w:t>по тарифам 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А.В. Лукьянов</w:t>
      </w:r>
      <w:r>
        <w:rPr>
          <w:b w:val="1"/>
          <w:sz w:val="26"/>
        </w:rPr>
        <w:br w:type="page"/>
      </w:r>
    </w:p>
    <w:p w14:paraId="1B000000">
      <w:pPr>
        <w:ind w:firstLine="708" w:left="0"/>
        <w:jc w:val="right"/>
      </w:pPr>
      <w:r>
        <w:t xml:space="preserve">Приложение </w:t>
      </w:r>
    </w:p>
    <w:p w14:paraId="1C000000">
      <w:pPr>
        <w:ind w:firstLine="708" w:left="0"/>
        <w:jc w:val="right"/>
      </w:pPr>
      <w:r>
        <w:t xml:space="preserve">к постановлению Региональной службы </w:t>
      </w:r>
    </w:p>
    <w:p w14:paraId="1D000000">
      <w:pPr>
        <w:ind w:firstLine="708" w:left="0"/>
        <w:jc w:val="right"/>
      </w:pPr>
      <w:r>
        <w:t xml:space="preserve">по тарифам Ростовской области </w:t>
      </w:r>
    </w:p>
    <w:p w14:paraId="1E000000">
      <w:pPr>
        <w:ind w:firstLine="708" w:left="0"/>
        <w:jc w:val="right"/>
      </w:pPr>
      <w:r>
        <w:t xml:space="preserve">от </w:t>
      </w:r>
      <w:r>
        <w:t>27</w:t>
      </w:r>
      <w:bookmarkStart w:id="1" w:name="_GoBack"/>
      <w:bookmarkEnd w:id="1"/>
      <w:r>
        <w:t xml:space="preserve">.12.2024 № </w:t>
      </w:r>
      <w:r>
        <w:t>827</w:t>
      </w:r>
    </w:p>
    <w:p w14:paraId="1F000000">
      <w:pPr>
        <w:ind w:firstLine="708" w:left="0"/>
        <w:jc w:val="right"/>
        <w:rPr>
          <w:sz w:val="28"/>
        </w:rPr>
      </w:pPr>
    </w:p>
    <w:p w14:paraId="20000000">
      <w:pPr>
        <w:ind w:firstLine="708" w:left="0"/>
        <w:jc w:val="right"/>
        <w:rPr>
          <w:sz w:val="28"/>
        </w:rPr>
      </w:pPr>
    </w:p>
    <w:p w14:paraId="21000000">
      <w:pPr>
        <w:ind/>
        <w:jc w:val="center"/>
        <w:rPr>
          <w:sz w:val="28"/>
        </w:rPr>
      </w:pPr>
      <w:r>
        <w:rPr>
          <w:sz w:val="28"/>
        </w:rPr>
        <w:t>Размеры специальных надбавок к тарифам на услуги</w:t>
      </w:r>
    </w:p>
    <w:p w14:paraId="22000000">
      <w:pPr>
        <w:ind/>
        <w:jc w:val="center"/>
        <w:rPr>
          <w:sz w:val="28"/>
        </w:rPr>
      </w:pPr>
      <w:r>
        <w:rPr>
          <w:sz w:val="28"/>
        </w:rPr>
        <w:t xml:space="preserve">по транспортировке газа по газораспределительным сетям </w:t>
      </w:r>
    </w:p>
    <w:p w14:paraId="23000000">
      <w:pPr>
        <w:ind/>
        <w:jc w:val="center"/>
        <w:rPr>
          <w:sz w:val="28"/>
        </w:rPr>
      </w:pPr>
      <w:r>
        <w:rPr>
          <w:sz w:val="28"/>
        </w:rPr>
        <w:t>ПАО «Газпром газораспределение Ростов-на-Дону», предназначенных для финансирования программы газификации жилищно-коммунального хозяйства, промышленных и иных организаций Ростовской области, на 202</w:t>
      </w:r>
      <w:r>
        <w:rPr>
          <w:sz w:val="28"/>
        </w:rPr>
        <w:t>5</w:t>
      </w:r>
      <w:r>
        <w:rPr>
          <w:sz w:val="28"/>
        </w:rPr>
        <w:t xml:space="preserve"> год</w:t>
      </w:r>
    </w:p>
    <w:p w14:paraId="24000000">
      <w:pPr>
        <w:ind w:firstLine="708" w:left="0"/>
        <w:jc w:val="right"/>
        <w:rPr>
          <w:sz w:val="28"/>
        </w:rPr>
      </w:pPr>
    </w:p>
    <w:tbl>
      <w:tblPr>
        <w:tblStyle w:val="Style_1"/>
        <w:tblInd w:type="dxa" w:w="39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88"/>
        <w:gridCol w:w="3696"/>
        <w:gridCol w:w="3721"/>
      </w:tblGrid>
      <w:tr>
        <w:trPr>
          <w:trHeight w:hRule="atLeast" w:val="956"/>
        </w:trPr>
        <w:tc>
          <w:tcPr>
            <w:tcW w:type="dxa" w:w="20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Группы конечных потребителей</w:t>
            </w:r>
          </w:p>
        </w:tc>
        <w:tc>
          <w:tcPr>
            <w:tcW w:type="dxa" w:w="7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Специальная надбавка с учетом налоговых платежей, возникающих при ее введении, </w:t>
            </w:r>
          </w:p>
          <w:p w14:paraId="2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руб./ 1000 </w:t>
            </w:r>
            <w:r>
              <w:rPr>
                <w:sz w:val="28"/>
              </w:rPr>
              <w:t>куб.м</w:t>
            </w:r>
            <w:r>
              <w:rPr>
                <w:sz w:val="28"/>
              </w:rPr>
              <w:t xml:space="preserve"> (без учета НДС)</w:t>
            </w:r>
          </w:p>
        </w:tc>
      </w:tr>
      <w:tr>
        <w:trPr>
          <w:trHeight w:hRule="atLeast" w:val="415"/>
        </w:trPr>
        <w:tc>
          <w:tcPr>
            <w:tcW w:type="dxa" w:w="20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01.01.2025 по 30.06.2025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01.07.2025 по 31.12.2025</w:t>
            </w:r>
          </w:p>
        </w:tc>
      </w:tr>
      <w:tr>
        <w:trPr>
          <w:trHeight w:hRule="atLeast" w:val="415"/>
        </w:trP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А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101,26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112,70</w:t>
            </w:r>
          </w:p>
        </w:tc>
      </w:tr>
      <w:tr>
        <w:trPr>
          <w:trHeight w:hRule="atLeast" w:val="200"/>
        </w:trP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149,02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165,86</w:t>
            </w:r>
          </w:p>
        </w:tc>
      </w:tr>
      <w:t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212,74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236,78</w:t>
            </w:r>
          </w:p>
        </w:tc>
      </w:tr>
      <w:t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263,38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293,14</w:t>
            </w:r>
          </w:p>
        </w:tc>
      </w:tr>
      <w:t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342,58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381,29</w:t>
            </w:r>
          </w:p>
        </w:tc>
      </w:tr>
      <w:t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389,31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433,30</w:t>
            </w:r>
          </w:p>
        </w:tc>
      </w:tr>
      <w:t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542,39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603,68</w:t>
            </w:r>
          </w:p>
        </w:tc>
      </w:tr>
      <w:tr>
        <w:trPr>
          <w:trHeight w:hRule="atLeast" w:val="70"/>
        </w:trPr>
        <w:tc>
          <w:tcPr>
            <w:tcW w:type="dxa" w:w="2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 группа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696,04</w:t>
            </w:r>
          </w:p>
        </w:tc>
        <w:tc>
          <w:tcPr>
            <w:tcW w:type="dxa" w:w="3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774,70</w:t>
            </w:r>
          </w:p>
        </w:tc>
      </w:tr>
    </w:tbl>
    <w:p w14:paraId="42000000">
      <w:pPr>
        <w:tabs>
          <w:tab w:leader="none" w:pos="850" w:val="left"/>
        </w:tabs>
        <w:spacing w:line="302" w:lineRule="exact"/>
        <w:ind/>
        <w:rPr>
          <w:b w:val="1"/>
          <w:sz w:val="26"/>
        </w:rPr>
      </w:pPr>
    </w:p>
    <w:p w14:paraId="43000000">
      <w:pPr>
        <w:tabs>
          <w:tab w:leader="none" w:pos="850" w:val="left"/>
        </w:tabs>
        <w:spacing w:line="302" w:lineRule="exact"/>
        <w:ind/>
        <w:rPr>
          <w:b w:val="1"/>
          <w:sz w:val="26"/>
        </w:rPr>
      </w:pPr>
    </w:p>
    <w:p w14:paraId="44000000">
      <w:pPr>
        <w:tabs>
          <w:tab w:leader="none" w:pos="850" w:val="left"/>
        </w:tabs>
        <w:spacing w:line="302" w:lineRule="exact"/>
        <w:ind/>
        <w:rPr>
          <w:b w:val="1"/>
          <w:sz w:val="26"/>
        </w:rPr>
      </w:pPr>
    </w:p>
    <w:p w14:paraId="45000000">
      <w:pPr>
        <w:tabs>
          <w:tab w:leader="none" w:pos="850" w:val="left"/>
        </w:tabs>
        <w:spacing w:line="302" w:lineRule="exact"/>
        <w:ind/>
        <w:rPr>
          <w:b w:val="1"/>
          <w:sz w:val="26"/>
        </w:rPr>
      </w:pPr>
    </w:p>
    <w:p w14:paraId="46000000">
      <w:pPr>
        <w:tabs>
          <w:tab w:leader="none" w:pos="850" w:val="left"/>
        </w:tabs>
        <w:spacing w:line="302" w:lineRule="exact"/>
        <w:ind/>
        <w:rPr>
          <w:b w:val="1"/>
          <w:sz w:val="26"/>
        </w:rPr>
      </w:pPr>
    </w:p>
    <w:p w14:paraId="47000000"/>
    <w:sectPr>
      <w:pgSz w:h="16848" w:orient="portrait" w:w="11908"/>
      <w:pgMar w:bottom="1134" w:footer="720" w:gutter="0" w:header="720" w:left="1134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toc 2"/>
    <w:next w:val="Style_7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ConsPlusNormal"/>
    <w:link w:val="Style_9_ch"/>
    <w:pPr>
      <w:ind w:firstLine="720" w:left="0"/>
    </w:pPr>
    <w:rPr>
      <w:rFonts w:ascii="Arial" w:hAnsi="Arial"/>
    </w:rPr>
  </w:style>
  <w:style w:styleId="Style_9_ch" w:type="character">
    <w:name w:val="ConsPlusNormal"/>
    <w:link w:val="Style_9"/>
    <w:rPr>
      <w:rFonts w:ascii="Arial" w:hAnsi="Arial"/>
    </w:rPr>
  </w:style>
  <w:style w:styleId="Style_10" w:type="paragraph">
    <w:name w:val="toc 4"/>
    <w:next w:val="Style_7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toc 6"/>
    <w:next w:val="Style_7"/>
    <w:link w:val="Style_12_ch"/>
    <w:uiPriority w:val="39"/>
    <w:pPr>
      <w:ind w:firstLine="0"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7"/>
    <w:link w:val="Style_13_ch"/>
    <w:uiPriority w:val="39"/>
    <w:pPr>
      <w:ind w:firstLine="0"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Balloon Text"/>
    <w:basedOn w:val="Style_7"/>
    <w:link w:val="Style_14_ch"/>
    <w:rPr>
      <w:rFonts w:ascii="Tahoma" w:hAnsi="Tahoma"/>
      <w:sz w:val="16"/>
    </w:rPr>
  </w:style>
  <w:style w:styleId="Style_14_ch" w:type="character">
    <w:name w:val="Balloon Text"/>
    <w:basedOn w:val="Style_7_ch"/>
    <w:link w:val="Style_14"/>
    <w:rPr>
      <w:rFonts w:ascii="Tahoma" w:hAnsi="Tahoma"/>
      <w:sz w:val="16"/>
    </w:rPr>
  </w:style>
  <w:style w:styleId="Style_15" w:type="paragraph">
    <w:name w:val="heading 3"/>
    <w:next w:val="Style_7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6" w:type="paragraph">
    <w:name w:val="Обычный1"/>
    <w:link w:val="Style_6_ch"/>
    <w:rPr>
      <w:sz w:val="24"/>
    </w:rPr>
  </w:style>
  <w:style w:styleId="Style_6_ch" w:type="character">
    <w:name w:val="Обычный1"/>
    <w:link w:val="Style_6"/>
    <w:rPr>
      <w:sz w:val="24"/>
    </w:rPr>
  </w:style>
  <w:style w:styleId="Style_17" w:type="paragraph">
    <w:name w:val="Знак"/>
    <w:basedOn w:val="Style_7"/>
    <w:link w:val="Style_17_ch"/>
    <w:pPr>
      <w:spacing w:afterAutospacing="on" w:beforeAutospacing="on"/>
      <w:ind/>
    </w:pPr>
    <w:rPr>
      <w:rFonts w:ascii="Tahoma" w:hAnsi="Tahoma"/>
      <w:sz w:val="20"/>
    </w:rPr>
  </w:style>
  <w:style w:styleId="Style_17_ch" w:type="character">
    <w:name w:val="Знак"/>
    <w:basedOn w:val="Style_7_ch"/>
    <w:link w:val="Style_17"/>
    <w:rPr>
      <w:rFonts w:ascii="Tahoma" w:hAnsi="Tahoma"/>
      <w:sz w:val="20"/>
    </w:rPr>
  </w:style>
  <w:style w:styleId="Style_18" w:type="paragraph">
    <w:name w:val="toc 3"/>
    <w:next w:val="Style_7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Font Style11"/>
    <w:link w:val="Style_19_ch"/>
    <w:rPr>
      <w:b w:val="1"/>
      <w:sz w:val="26"/>
    </w:rPr>
  </w:style>
  <w:style w:styleId="Style_19_ch" w:type="character">
    <w:name w:val="Font Style11"/>
    <w:link w:val="Style_19"/>
    <w:rPr>
      <w:b w:val="1"/>
      <w:sz w:val="26"/>
    </w:rPr>
  </w:style>
  <w:style w:styleId="Style_20" w:type="paragraph">
    <w:name w:val="ConsPlusTitle"/>
    <w:link w:val="Style_20_ch"/>
    <w:rPr>
      <w:rFonts w:ascii="Arial" w:hAnsi="Arial"/>
      <w:b w:val="1"/>
    </w:rPr>
  </w:style>
  <w:style w:styleId="Style_20_ch" w:type="character">
    <w:name w:val="ConsPlusTitle"/>
    <w:link w:val="Style_20"/>
    <w:rPr>
      <w:rFonts w:ascii="Arial" w:hAnsi="Arial"/>
      <w:b w:val="1"/>
    </w:rPr>
  </w:style>
  <w:style w:styleId="Style_21" w:type="paragraph">
    <w:name w:val="heading 5"/>
    <w:next w:val="Style_7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Body Text Indent 2"/>
    <w:basedOn w:val="Style_7"/>
    <w:link w:val="Style_22_ch"/>
    <w:pPr>
      <w:ind w:firstLine="708" w:left="0"/>
    </w:pPr>
    <w:rPr>
      <w:sz w:val="28"/>
    </w:rPr>
  </w:style>
  <w:style w:styleId="Style_22_ch" w:type="character">
    <w:name w:val="Body Text Indent 2"/>
    <w:basedOn w:val="Style_7_ch"/>
    <w:link w:val="Style_22"/>
    <w:rPr>
      <w:sz w:val="28"/>
    </w:rPr>
  </w:style>
  <w:style w:styleId="Style_23" w:type="paragraph">
    <w:name w:val="heading 1"/>
    <w:next w:val="Style_7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Body Text"/>
    <w:basedOn w:val="Style_7"/>
    <w:link w:val="Style_26_ch"/>
    <w:pPr>
      <w:spacing w:after="120"/>
      <w:ind/>
    </w:pPr>
  </w:style>
  <w:style w:styleId="Style_26_ch" w:type="character">
    <w:name w:val="Body Text"/>
    <w:basedOn w:val="Style_7_ch"/>
    <w:link w:val="Style_26"/>
  </w:style>
  <w:style w:styleId="Style_27" w:type="paragraph">
    <w:name w:val="toc 1"/>
    <w:next w:val="Style_7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toc 9"/>
    <w:next w:val="Style_7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Знак1 Знак Знак Знак"/>
    <w:basedOn w:val="Style_7"/>
    <w:link w:val="Style_30_ch"/>
    <w:pPr>
      <w:spacing w:afterAutospacing="on" w:beforeAutospacing="on"/>
      <w:ind/>
    </w:pPr>
    <w:rPr>
      <w:rFonts w:ascii="Tahoma" w:hAnsi="Tahoma"/>
      <w:sz w:val="20"/>
    </w:rPr>
  </w:style>
  <w:style w:styleId="Style_30_ch" w:type="character">
    <w:name w:val="Знак1 Знак Знак Знак"/>
    <w:basedOn w:val="Style_7_ch"/>
    <w:link w:val="Style_30"/>
    <w:rPr>
      <w:rFonts w:ascii="Tahoma" w:hAnsi="Tahoma"/>
      <w:sz w:val="20"/>
    </w:rPr>
  </w:style>
  <w:style w:styleId="Style_31" w:type="paragraph">
    <w:name w:val="toc 8"/>
    <w:next w:val="Style_7"/>
    <w:link w:val="Style_31_ch"/>
    <w:uiPriority w:val="39"/>
    <w:pPr>
      <w:ind w:firstLine="0" w:left="1400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Знак1 Знак Знак Знак"/>
    <w:basedOn w:val="Style_7"/>
    <w:link w:val="Style_33_ch"/>
    <w:pPr>
      <w:spacing w:afterAutospacing="on" w:beforeAutospacing="on"/>
      <w:ind/>
    </w:pPr>
    <w:rPr>
      <w:rFonts w:ascii="Tahoma" w:hAnsi="Tahoma"/>
      <w:sz w:val="20"/>
    </w:rPr>
  </w:style>
  <w:style w:styleId="Style_33_ch" w:type="character">
    <w:name w:val="Знак1 Знак Знак Знак"/>
    <w:basedOn w:val="Style_7_ch"/>
    <w:link w:val="Style_33"/>
    <w:rPr>
      <w:rFonts w:ascii="Tahoma" w:hAnsi="Tahoma"/>
      <w:sz w:val="20"/>
    </w:rPr>
  </w:style>
  <w:style w:styleId="Style_34" w:type="paragraph">
    <w:name w:val="toc 10"/>
    <w:next w:val="Style_7"/>
    <w:link w:val="Style_34_ch"/>
    <w:pPr>
      <w:ind w:firstLine="0" w:left="1800"/>
    </w:pPr>
    <w:rPr>
      <w:rFonts w:ascii="XO Thames" w:hAnsi="XO Thames"/>
      <w:sz w:val="28"/>
    </w:rPr>
  </w:style>
  <w:style w:styleId="Style_34_ch" w:type="character">
    <w:name w:val="toc 10"/>
    <w:link w:val="Style_34"/>
    <w:rPr>
      <w:rFonts w:ascii="XO Thames" w:hAnsi="XO Thames"/>
      <w:sz w:val="28"/>
    </w:rPr>
  </w:style>
  <w:style w:styleId="Style_35" w:type="paragraph">
    <w:name w:val="toc 5"/>
    <w:next w:val="Style_7"/>
    <w:link w:val="Style_35_ch"/>
    <w:uiPriority w:val="39"/>
    <w:pPr>
      <w:ind w:firstLine="0"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Default Paragraph Font"/>
    <w:link w:val="Style_36_ch"/>
  </w:style>
  <w:style w:styleId="Style_36_ch" w:type="character">
    <w:name w:val="Default Paragraph Font"/>
    <w:link w:val="Style_36"/>
  </w:style>
  <w:style w:styleId="Style_37" w:type="paragraph">
    <w:name w:val="Знак"/>
    <w:basedOn w:val="Style_7"/>
    <w:link w:val="Style_37_ch"/>
    <w:pPr>
      <w:spacing w:afterAutospacing="on" w:beforeAutospacing="on"/>
      <w:ind/>
    </w:pPr>
    <w:rPr>
      <w:rFonts w:ascii="Tahoma" w:hAnsi="Tahoma"/>
      <w:sz w:val="20"/>
    </w:rPr>
  </w:style>
  <w:style w:styleId="Style_37_ch" w:type="character">
    <w:name w:val="Знак"/>
    <w:basedOn w:val="Style_7_ch"/>
    <w:link w:val="Style_37"/>
    <w:rPr>
      <w:rFonts w:ascii="Tahoma" w:hAnsi="Tahoma"/>
      <w:sz w:val="20"/>
    </w:rPr>
  </w:style>
  <w:style w:styleId="Style_38" w:type="paragraph">
    <w:name w:val="Subtitle"/>
    <w:next w:val="Style_7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4" w:type="paragraph">
    <w:name w:val="ConsNonformat"/>
    <w:link w:val="Style_4_ch"/>
    <w:pPr>
      <w:widowControl w:val="0"/>
      <w:ind/>
    </w:pPr>
    <w:rPr>
      <w:rFonts w:ascii="Courier New" w:hAnsi="Courier New"/>
    </w:rPr>
  </w:style>
  <w:style w:styleId="Style_4_ch" w:type="character">
    <w:name w:val="ConsNonformat"/>
    <w:link w:val="Style_4"/>
    <w:rPr>
      <w:rFonts w:ascii="Courier New" w:hAnsi="Courier New"/>
    </w:rPr>
  </w:style>
  <w:style w:styleId="Style_3" w:type="paragraph">
    <w:name w:val="Title"/>
    <w:basedOn w:val="Style_7"/>
    <w:link w:val="Style_3_ch"/>
    <w:uiPriority w:val="10"/>
    <w:qFormat/>
    <w:pPr>
      <w:ind/>
      <w:jc w:val="center"/>
    </w:pPr>
  </w:style>
  <w:style w:styleId="Style_3_ch" w:type="character">
    <w:name w:val="Title"/>
    <w:basedOn w:val="Style_7_ch"/>
    <w:link w:val="Style_3"/>
  </w:style>
  <w:style w:styleId="Style_39" w:type="paragraph">
    <w:name w:val="heading 4"/>
    <w:next w:val="Style_7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5" w:type="paragraph">
    <w:name w:val="ConsNormal"/>
    <w:link w:val="Style_5_ch"/>
    <w:pPr>
      <w:widowControl w:val="0"/>
      <w:ind w:firstLine="720" w:left="0"/>
    </w:pPr>
    <w:rPr>
      <w:rFonts w:ascii="Arial" w:hAnsi="Arial"/>
      <w:sz w:val="16"/>
    </w:rPr>
  </w:style>
  <w:style w:styleId="Style_5_ch" w:type="character">
    <w:name w:val="ConsNormal"/>
    <w:link w:val="Style_5"/>
    <w:rPr>
      <w:rFonts w:ascii="Arial" w:hAnsi="Arial"/>
      <w:sz w:val="16"/>
    </w:rPr>
  </w:style>
  <w:style w:styleId="Style_40" w:type="paragraph">
    <w:name w:val="heading 2"/>
    <w:next w:val="Style_7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paragraph">
    <w:name w:val="Font Style14"/>
    <w:link w:val="Style_41_ch"/>
    <w:rPr>
      <w:sz w:val="26"/>
    </w:rPr>
  </w:style>
  <w:style w:styleId="Style_41_ch" w:type="character">
    <w:name w:val="Font Style14"/>
    <w:link w:val="Style_41"/>
    <w:rPr>
      <w:sz w:val="26"/>
    </w:rPr>
  </w:style>
  <w:style w:styleId="Style_42" w:type="paragraph">
    <w:name w:val="ConsPlusNonformat"/>
    <w:link w:val="Style_42_ch"/>
    <w:rPr>
      <w:rFonts w:ascii="Courier New" w:hAnsi="Courier New"/>
    </w:rPr>
  </w:style>
  <w:style w:styleId="Style_42_ch" w:type="character">
    <w:name w:val="ConsPlusNonformat"/>
    <w:link w:val="Style_42"/>
    <w:rPr>
      <w:rFonts w:ascii="Courier New" w:hAnsi="Courier New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43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2024-12-28T07:54:08Z</dcterms:modified>
</cp:coreProperties>
</file>