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Layout w:type="fixed"/>
      </w:tblPr>
      <w:tblGrid>
        <w:gridCol w:w="6291"/>
        <w:gridCol w:w="3234"/>
      </w:tblGrid>
      <w:tr>
        <w:tc>
          <w:tcPr>
            <w:tcW w:type="dxa" w:w="6291"/>
          </w:tcPr>
          <w:p w14:paraId="01000000">
            <w:pPr>
              <w:spacing w:before="14" w:line="264" w:lineRule="exact"/>
              <w:ind w:right="-55"/>
            </w:pPr>
          </w:p>
        </w:tc>
        <w:tc>
          <w:tcPr>
            <w:tcW w:type="dxa" w:w="3234"/>
          </w:tcPr>
          <w:p w14:paraId="02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№ </w:t>
            </w:r>
            <w:r>
              <w:rPr>
                <w:sz w:val="20"/>
              </w:rPr>
              <w:t>5</w:t>
            </w:r>
          </w:p>
          <w:p w14:paraId="03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к протоколу заседания Правления</w:t>
            </w:r>
          </w:p>
          <w:p w14:paraId="04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Региональной службы по тарифам</w:t>
            </w:r>
          </w:p>
          <w:p w14:paraId="05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Ростовской области</w:t>
            </w:r>
          </w:p>
          <w:p w14:paraId="06000000">
            <w:pPr>
              <w:ind/>
              <w:jc w:val="right"/>
            </w:pPr>
            <w:r>
              <w:rPr>
                <w:sz w:val="20"/>
              </w:rPr>
              <w:t xml:space="preserve">от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>
              <w:rPr>
                <w:sz w:val="20"/>
              </w:rPr>
              <w:t>.202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 xml:space="preserve"> № </w:t>
            </w:r>
            <w:r>
              <w:rPr>
                <w:sz w:val="20"/>
              </w:rPr>
              <w:t>66</w:t>
            </w:r>
          </w:p>
        </w:tc>
      </w:tr>
    </w:tbl>
    <w:p w14:paraId="07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7220" cy="6172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7220" cy="617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ind/>
        <w:jc w:val="center"/>
        <w:rPr>
          <w:b w:val="1"/>
          <w:sz w:val="26"/>
        </w:rPr>
      </w:pPr>
    </w:p>
    <w:p w14:paraId="09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B000000">
      <w:pPr>
        <w:ind/>
        <w:jc w:val="center"/>
        <w:rPr>
          <w:b w:val="1"/>
          <w:sz w:val="26"/>
        </w:rPr>
      </w:pP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D000000">
      <w:pPr>
        <w:pStyle w:val="Style_2"/>
        <w:widowControl w:val="1"/>
        <w:ind/>
        <w:jc w:val="center"/>
        <w:rPr>
          <w:rFonts w:ascii="Times New Roman" w:hAnsi="Times New Roman"/>
          <w:b w:val="0"/>
          <w:sz w:val="26"/>
        </w:rPr>
      </w:pPr>
    </w:p>
    <w:p w14:paraId="0E000000">
      <w:pPr>
        <w:ind w:firstLine="540" w:left="0" w:right="665"/>
        <w:jc w:val="center"/>
        <w:rPr>
          <w:b w:val="1"/>
          <w:sz w:val="26"/>
        </w:rPr>
      </w:pPr>
      <w:r>
        <w:rPr>
          <w:sz w:val="28"/>
        </w:rPr>
        <w:t>1</w:t>
      </w:r>
      <w:r>
        <w:rPr>
          <w:sz w:val="28"/>
        </w:rPr>
        <w:t>9</w:t>
      </w:r>
      <w:r>
        <w:rPr>
          <w:sz w:val="28"/>
        </w:rPr>
        <w:t>.</w:t>
      </w:r>
      <w:r>
        <w:rPr>
          <w:sz w:val="28"/>
        </w:rPr>
        <w:t>12</w:t>
      </w:r>
      <w:r>
        <w:rPr>
          <w:sz w:val="28"/>
        </w:rPr>
        <w:t>.202</w:t>
      </w:r>
      <w:r>
        <w:rPr>
          <w:sz w:val="28"/>
        </w:rPr>
        <w:t>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№ </w:t>
      </w:r>
      <w:r>
        <w:rPr>
          <w:sz w:val="28"/>
        </w:rPr>
        <w:t>717</w:t>
      </w:r>
    </w:p>
    <w:p w14:paraId="0F000000">
      <w:pPr>
        <w:ind/>
        <w:jc w:val="center"/>
        <w:rPr>
          <w:b w:val="1"/>
          <w:sz w:val="26"/>
        </w:rPr>
      </w:pPr>
    </w:p>
    <w:p w14:paraId="10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корректировке производственной программы в области </w:t>
      </w:r>
    </w:p>
    <w:p w14:paraId="11000000">
      <w:pPr>
        <w:pStyle w:val="Style_3"/>
        <w:ind w:firstLine="0" w:left="0"/>
        <w:jc w:val="center"/>
        <w:rPr>
          <w:rFonts w:ascii="TimesNewRomanPS-BoldMT" w:hAnsi="TimesNewRomanPS-BoldMT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обращения с твердыми коммунальными отходами </w:t>
      </w:r>
      <w:r>
        <w:rPr>
          <w:rFonts w:ascii="TimesNewRomanPS-BoldMT" w:hAnsi="TimesNewRomanPS-BoldMT"/>
          <w:b w:val="1"/>
          <w:sz w:val="28"/>
        </w:rPr>
        <w:t xml:space="preserve">ООО «КХ» </w:t>
      </w:r>
    </w:p>
    <w:p w14:paraId="12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NewRomanPS-BoldMT" w:hAnsi="TimesNewRomanPS-BoldMT"/>
          <w:b w:val="1"/>
          <w:sz w:val="28"/>
        </w:rPr>
        <w:t>(ИНН 6146006176), г. Зверево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Ростовской области, на 202</w:t>
      </w:r>
      <w:r>
        <w:rPr>
          <w:rFonts w:ascii="Times New Roman" w:hAnsi="Times New Roman"/>
          <w:b w:val="1"/>
          <w:sz w:val="28"/>
        </w:rPr>
        <w:t>6</w:t>
      </w:r>
      <w:r>
        <w:rPr>
          <w:rFonts w:ascii="Times New Roman" w:hAnsi="Times New Roman"/>
          <w:b w:val="1"/>
          <w:sz w:val="28"/>
        </w:rPr>
        <w:t xml:space="preserve"> год</w:t>
      </w:r>
    </w:p>
    <w:p w14:paraId="13000000">
      <w:pPr>
        <w:pStyle w:val="Style_3"/>
        <w:ind w:firstLine="540" w:left="0"/>
        <w:jc w:val="center"/>
        <w:rPr>
          <w:sz w:val="16"/>
        </w:rPr>
      </w:pPr>
    </w:p>
    <w:p w14:paraId="14000000">
      <w:pPr>
        <w:ind w:firstLine="540" w:left="0"/>
        <w:jc w:val="both"/>
        <w:rPr>
          <w:b w:val="1"/>
          <w:sz w:val="28"/>
        </w:rPr>
      </w:pPr>
      <w:r>
        <w:rPr>
          <w:sz w:val="28"/>
        </w:rPr>
        <w:t>В соответствии с Федеральным законом от 24.06.1998 № 89-ФЗ                       «Об отходах производства и потребления», Правилами разработки, утверждения и корректировки производственных программ в области обращения с твердыми коммунальными отходами,</w:t>
      </w:r>
      <w:r>
        <w:rPr>
          <w:sz w:val="28"/>
        </w:rPr>
        <w:t xml:space="preserve"> а также осуществления контроля за их реализацией,</w:t>
      </w:r>
      <w:r>
        <w:rPr>
          <w:sz w:val="28"/>
        </w:rPr>
        <w:t xml:space="preserve"> утвержденными постановлением Правительства Российской Федерации от 16.05.2016 № 424, 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</w:t>
      </w:r>
    </w:p>
    <w:p w14:paraId="15000000">
      <w:pPr>
        <w:pStyle w:val="Style_3"/>
        <w:ind w:firstLine="540" w:left="0"/>
        <w:jc w:val="center"/>
        <w:rPr>
          <w:rFonts w:ascii="Times New Roman" w:hAnsi="Times New Roman"/>
          <w:sz w:val="16"/>
        </w:rPr>
      </w:pPr>
    </w:p>
    <w:p w14:paraId="16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постановляет:</w:t>
      </w:r>
    </w:p>
    <w:p w14:paraId="17000000">
      <w:pPr>
        <w:pStyle w:val="Style_3"/>
        <w:ind w:firstLine="0" w:left="0"/>
        <w:jc w:val="center"/>
        <w:rPr>
          <w:rFonts w:ascii="Times New Roman" w:hAnsi="Times New Roman"/>
          <w:sz w:val="16"/>
        </w:rPr>
      </w:pPr>
    </w:p>
    <w:p w14:paraId="18000000">
      <w:pPr>
        <w:pStyle w:val="Style_3"/>
        <w:tabs>
          <w:tab w:leader="none" w:pos="1080" w:val="left"/>
        </w:tabs>
        <w:ind w:firstLine="709" w:left="0"/>
        <w:jc w:val="both"/>
        <w:rPr>
          <w:rFonts w:ascii="Times New Roman" w:hAnsi="Times New Roman"/>
          <w:spacing w:val="-4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4"/>
          <w:sz w:val="28"/>
        </w:rPr>
        <w:t xml:space="preserve">Внести изменение в приложение к постановлению Региональной службы по тарифам Ростовской области </w:t>
      </w:r>
      <w:r>
        <w:rPr>
          <w:rFonts w:ascii="Times New Roman" w:hAnsi="Times New Roman"/>
          <w:spacing w:val="-4"/>
          <w:sz w:val="28"/>
        </w:rPr>
        <w:t>от 28.11.2022 № 69/115 «</w:t>
      </w:r>
      <w:r>
        <w:rPr>
          <w:rFonts w:ascii="Times New Roman" w:hAnsi="Times New Roman"/>
          <w:spacing w:val="-4"/>
          <w:sz w:val="28"/>
        </w:rPr>
        <w:t>Об утверждении производственной программы в области обращения с тверд</w:t>
      </w:r>
      <w:r>
        <w:rPr>
          <w:rFonts w:ascii="Times New Roman" w:hAnsi="Times New Roman"/>
          <w:spacing w:val="-4"/>
          <w:sz w:val="28"/>
        </w:rPr>
        <w:t>ыми коммунальными отходами МУП «КХ»</w:t>
      </w:r>
      <w:r>
        <w:rPr>
          <w:rFonts w:ascii="Times New Roman" w:hAnsi="Times New Roman"/>
          <w:spacing w:val="-4"/>
          <w:sz w:val="28"/>
        </w:rPr>
        <w:t xml:space="preserve"> г. Зверево (ИНН 6146005020), Ростовск</w:t>
      </w:r>
      <w:r>
        <w:rPr>
          <w:rFonts w:ascii="Times New Roman" w:hAnsi="Times New Roman"/>
          <w:spacing w:val="-4"/>
          <w:sz w:val="28"/>
        </w:rPr>
        <w:t>ой области, на 2023 - 2027 годы»</w:t>
      </w:r>
      <w:r>
        <w:rPr>
          <w:rFonts w:ascii="Times New Roman" w:hAnsi="Times New Roman"/>
          <w:spacing w:val="-4"/>
          <w:sz w:val="28"/>
        </w:rPr>
        <w:t>,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изложив его в редакции согласно приложению к настоящему постановлению.</w:t>
      </w:r>
    </w:p>
    <w:p w14:paraId="19000000">
      <w:pPr>
        <w:pStyle w:val="Style_4"/>
        <w:spacing w:after="0"/>
        <w:ind w:firstLine="720" w:left="0"/>
        <w:jc w:val="both"/>
        <w:rPr>
          <w:spacing w:val="-1"/>
          <w:sz w:val="28"/>
        </w:rPr>
      </w:pPr>
      <w:r>
        <w:rPr>
          <w:sz w:val="28"/>
        </w:rPr>
        <w:t>2. 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«Интернет» http://rst.donland.ru и вступает в силу со дня его</w:t>
      </w:r>
      <w:r>
        <w:rPr>
          <w:spacing w:val="-1"/>
          <w:sz w:val="28"/>
        </w:rPr>
        <w:t xml:space="preserve"> официального опубликования.</w:t>
      </w:r>
    </w:p>
    <w:p w14:paraId="1A000000">
      <w:pPr>
        <w:pStyle w:val="Style_3"/>
        <w:ind w:firstLine="0" w:left="0"/>
        <w:jc w:val="both"/>
        <w:rPr>
          <w:rFonts w:ascii="Times New Roman" w:hAnsi="Times New Roman"/>
          <w:sz w:val="28"/>
        </w:rPr>
      </w:pPr>
    </w:p>
    <w:p w14:paraId="1B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Руководитель </w:t>
      </w:r>
    </w:p>
    <w:p w14:paraId="1C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Региональной службы по тарифам </w:t>
      </w:r>
    </w:p>
    <w:p w14:paraId="1D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Ростовской области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                             </w:t>
      </w:r>
      <w:r>
        <w:rPr>
          <w:rFonts w:ascii="Times New Roman" w:hAnsi="Times New Roman"/>
          <w:b w:val="1"/>
          <w:sz w:val="28"/>
        </w:rPr>
        <w:t xml:space="preserve">      </w:t>
      </w:r>
      <w:bookmarkStart w:id="1" w:name="_GoBack"/>
      <w:bookmarkEnd w:id="1"/>
      <w:r>
        <w:rPr>
          <w:rFonts w:ascii="Times New Roman" w:hAnsi="Times New Roman"/>
          <w:b w:val="1"/>
          <w:sz w:val="28"/>
        </w:rPr>
        <w:t xml:space="preserve">         А.В. Лукьянов</w:t>
      </w:r>
    </w:p>
    <w:p w14:paraId="1E000000">
      <w:pPr>
        <w:pStyle w:val="Style_3"/>
        <w:ind w:firstLine="0" w:left="0"/>
        <w:jc w:val="both"/>
        <w:rPr>
          <w:sz w:val="16"/>
        </w:rPr>
      </w:pPr>
    </w:p>
    <w:p w14:paraId="1F000000">
      <w:pPr>
        <w:widowControl w:val="0"/>
        <w:ind/>
        <w:jc w:val="right"/>
      </w:pPr>
    </w:p>
    <w:p w14:paraId="20000000">
      <w:pPr>
        <w:widowControl w:val="0"/>
        <w:ind/>
        <w:jc w:val="right"/>
      </w:pPr>
      <w:r>
        <w:t xml:space="preserve">Приложение </w:t>
      </w:r>
    </w:p>
    <w:p w14:paraId="21000000">
      <w:pPr>
        <w:widowControl w:val="0"/>
        <w:ind/>
        <w:jc w:val="right"/>
      </w:pPr>
      <w:r>
        <w:t>к постановлению Региональной службы</w:t>
      </w:r>
    </w:p>
    <w:p w14:paraId="22000000">
      <w:pPr>
        <w:widowControl w:val="0"/>
        <w:ind/>
        <w:jc w:val="right"/>
        <w:rPr>
          <w:sz w:val="20"/>
        </w:rPr>
      </w:pPr>
      <w:r>
        <w:t>по тарифам Ростовской области</w:t>
      </w:r>
      <w:r>
        <w:rPr>
          <w:sz w:val="20"/>
        </w:rPr>
        <w:t xml:space="preserve"> </w:t>
      </w:r>
    </w:p>
    <w:p w14:paraId="23000000">
      <w:pPr>
        <w:widowControl w:val="0"/>
        <w:ind/>
        <w:jc w:val="right"/>
        <w:rPr>
          <w:sz w:val="32"/>
        </w:rPr>
      </w:pPr>
      <w:r>
        <w:t xml:space="preserve">от </w:t>
      </w:r>
      <w:r>
        <w:t>1</w:t>
      </w:r>
      <w:r>
        <w:t>9</w:t>
      </w:r>
      <w:r>
        <w:t>.</w:t>
      </w:r>
      <w:r>
        <w:t>12</w:t>
      </w:r>
      <w:r>
        <w:t>.202</w:t>
      </w:r>
      <w:r>
        <w:t>5</w:t>
      </w:r>
      <w:r>
        <w:t xml:space="preserve"> № </w:t>
      </w:r>
      <w:r>
        <w:t>717</w:t>
      </w:r>
    </w:p>
    <w:p w14:paraId="24000000">
      <w:pPr>
        <w:widowControl w:val="0"/>
        <w:ind/>
        <w:jc w:val="both"/>
        <w:rPr>
          <w:sz w:val="16"/>
        </w:rPr>
      </w:pPr>
    </w:p>
    <w:p w14:paraId="25000000">
      <w:pPr>
        <w:widowControl w:val="0"/>
        <w:ind/>
        <w:jc w:val="center"/>
        <w:rPr>
          <w:b w:val="1"/>
        </w:rPr>
      </w:pPr>
    </w:p>
    <w:p w14:paraId="26000000">
      <w:pPr>
        <w:widowControl w:val="0"/>
        <w:ind/>
        <w:jc w:val="center"/>
        <w:rPr>
          <w:b w:val="1"/>
        </w:rPr>
      </w:pPr>
    </w:p>
    <w:p w14:paraId="27000000">
      <w:pPr>
        <w:widowControl w:val="0"/>
        <w:ind/>
        <w:jc w:val="center"/>
        <w:rPr>
          <w:b w:val="1"/>
        </w:rPr>
      </w:pPr>
      <w:r>
        <w:rPr>
          <w:b w:val="1"/>
        </w:rPr>
        <w:t xml:space="preserve">ПРОИЗВОДСТВЕННАЯ ПРОГРАММА </w:t>
      </w:r>
    </w:p>
    <w:p w14:paraId="28000000">
      <w:pPr>
        <w:widowControl w:val="0"/>
        <w:ind/>
        <w:jc w:val="center"/>
        <w:rPr>
          <w:b w:val="1"/>
        </w:rPr>
      </w:pPr>
      <w:r>
        <w:rPr>
          <w:b w:val="1"/>
        </w:rPr>
        <w:t>в области обращения с твердыми коммунальными отходами (далее – ТКО)</w:t>
      </w:r>
    </w:p>
    <w:p w14:paraId="29000000">
      <w:pPr>
        <w:widowControl w:val="0"/>
        <w:ind w:firstLine="540" w:left="0"/>
        <w:jc w:val="both"/>
        <w:rPr>
          <w:b w:val="1"/>
          <w:color w:val="EE0000"/>
          <w:sz w:val="16"/>
        </w:rPr>
      </w:pPr>
      <w:r>
        <w:rPr>
          <w:rFonts w:ascii="TimesNewRomanPSMT" w:hAnsi="TimesNewRomanPSMT"/>
        </w:rPr>
        <w:t xml:space="preserve">  </w:t>
      </w:r>
      <w:r>
        <w:rPr>
          <w:rFonts w:ascii="TimesNewRomanPSMT" w:hAnsi="TimesNewRomanPSMT"/>
        </w:rPr>
        <w:t xml:space="preserve">              </w:t>
      </w:r>
      <w:r>
        <w:rPr>
          <w:rFonts w:ascii="TimesNewRomanPSMT" w:hAnsi="TimesNewRomanPSMT"/>
        </w:rPr>
        <w:t xml:space="preserve">ООО «КХ», г. Зверево Ростовской области, </w:t>
      </w:r>
      <w:r>
        <w:rPr>
          <w:rFonts w:ascii="TimesNewRomanPSMT" w:hAnsi="TimesNewRomanPSMT"/>
          <w:color w:val="000000"/>
        </w:rPr>
        <w:t>на 2023-2027 годы</w:t>
      </w:r>
    </w:p>
    <w:p w14:paraId="2A000000">
      <w:pPr>
        <w:widowControl w:val="0"/>
        <w:ind w:firstLine="540" w:left="0"/>
        <w:jc w:val="both"/>
        <w:rPr>
          <w:b w:val="1"/>
        </w:rPr>
      </w:pPr>
    </w:p>
    <w:p w14:paraId="2B000000">
      <w:pPr>
        <w:widowControl w:val="0"/>
        <w:ind w:firstLine="540" w:left="0"/>
        <w:jc w:val="both"/>
      </w:pPr>
      <w:r>
        <w:rPr>
          <w:b w:val="1"/>
        </w:rPr>
        <w:t>1. Паспорт производственной программы</w:t>
      </w:r>
      <w:r>
        <w:t>.</w:t>
      </w:r>
    </w:p>
    <w:p w14:paraId="2C000000">
      <w:pPr>
        <w:widowControl w:val="0"/>
        <w:ind/>
        <w:rPr>
          <w:sz w:val="16"/>
        </w:rPr>
      </w:pPr>
    </w:p>
    <w:tbl>
      <w:tblPr>
        <w:tblStyle w:val="Style_1"/>
        <w:tblInd w:type="dxa" w:w="7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75"/>
          <w:right w:type="dxa" w:w="75"/>
        </w:tblCellMar>
      </w:tblPr>
      <w:tblGrid>
        <w:gridCol w:w="3667"/>
        <w:gridCol w:w="5783"/>
      </w:tblGrid>
      <w:tr>
        <w:trPr>
          <w:trHeight w:hRule="atLeast" w:val="900"/>
        </w:trPr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D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Наименование регулируемой организации, ее местонахождение, контакты ответственных лиц </w:t>
            </w:r>
          </w:p>
        </w:tc>
        <w:tc>
          <w:tcPr>
            <w:tcW w:type="dxa" w:w="5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E000000">
            <w:pPr>
              <w:rPr>
                <w:rFonts w:ascii="TimesNewRomanPSMT" w:hAnsi="TimesNewRomanPSMT"/>
                <w:sz w:val="20"/>
              </w:rPr>
            </w:pPr>
            <w:r>
              <w:rPr>
                <w:rFonts w:ascii="TimesNewRomanPSMT" w:hAnsi="TimesNewRomanPSMT"/>
                <w:sz w:val="20"/>
              </w:rPr>
              <w:t>Общество с ограниченной ответственностью «Коммунальное</w:t>
            </w:r>
          </w:p>
          <w:p w14:paraId="2F000000">
            <w:pPr>
              <w:rPr>
                <w:rFonts w:ascii="TimesNewRomanPSMT" w:hAnsi="TimesNewRomanPSMT"/>
                <w:sz w:val="20"/>
              </w:rPr>
            </w:pPr>
            <w:r>
              <w:rPr>
                <w:rFonts w:ascii="TimesNewRomanPSMT" w:hAnsi="TimesNewRomanPSMT"/>
                <w:sz w:val="20"/>
              </w:rPr>
              <w:t>хозяйство»,</w:t>
            </w:r>
          </w:p>
          <w:p w14:paraId="30000000">
            <w:pPr>
              <w:rPr>
                <w:rFonts w:ascii="TimesNewRomanPSMT" w:hAnsi="TimesNewRomanPSMT"/>
                <w:sz w:val="20"/>
              </w:rPr>
            </w:pPr>
            <w:r>
              <w:rPr>
                <w:rFonts w:ascii="TimesNewRomanPSMT" w:hAnsi="TimesNewRomanPSMT"/>
                <w:sz w:val="20"/>
              </w:rPr>
              <w:t>ул. Рижская, 13, г. Зверево, Ростовская область, 346311</w:t>
            </w:r>
          </w:p>
          <w:p w14:paraId="31000000">
            <w:pPr>
              <w:widowControl w:val="0"/>
              <w:ind/>
              <w:rPr>
                <w:sz w:val="20"/>
              </w:rPr>
            </w:pPr>
            <w:r>
              <w:rPr>
                <w:rFonts w:ascii="TimesNewRomanPSMT" w:hAnsi="TimesNewRomanPSMT"/>
                <w:sz w:val="20"/>
              </w:rPr>
              <w:t xml:space="preserve">тел.: (86355) 4-19-90 </w:t>
            </w:r>
          </w:p>
        </w:tc>
      </w:tr>
      <w:tr>
        <w:trPr>
          <w:trHeight w:hRule="atLeast" w:val="888"/>
        </w:trPr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2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Наименование уполномоченного органа, утвердившего производственную программу, его местонахождение, контакты ответственных лиц </w:t>
            </w:r>
          </w:p>
        </w:tc>
        <w:tc>
          <w:tcPr>
            <w:tcW w:type="dxa" w:w="5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3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Региональная служба по тарифам Ростовской области </w:t>
            </w:r>
          </w:p>
          <w:p w14:paraId="34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ул. Максима Горького, 295, г. Ростов-на-Дону</w:t>
            </w:r>
          </w:p>
          <w:p w14:paraId="35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тел.: (863) 263-50-55</w:t>
            </w:r>
          </w:p>
        </w:tc>
      </w:tr>
      <w:tr>
        <w:trPr>
          <w:trHeight w:hRule="atLeast" w:val="480"/>
        </w:trPr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6000000">
            <w:pPr>
              <w:widowControl w:val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Период реализации производственной программы</w:t>
            </w:r>
          </w:p>
        </w:tc>
        <w:tc>
          <w:tcPr>
            <w:tcW w:type="dxa" w:w="5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7000000">
            <w:pPr>
              <w:widowControl w:val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2023-2027 годы</w:t>
            </w:r>
          </w:p>
        </w:tc>
      </w:tr>
    </w:tbl>
    <w:p w14:paraId="38000000">
      <w:pPr>
        <w:widowControl w:val="0"/>
        <w:ind/>
        <w:jc w:val="both"/>
        <w:rPr>
          <w:sz w:val="16"/>
        </w:rPr>
      </w:pPr>
    </w:p>
    <w:p w14:paraId="39000000">
      <w:pPr>
        <w:widowControl w:val="0"/>
        <w:ind w:firstLine="540" w:left="0"/>
        <w:jc w:val="both"/>
        <w:rPr>
          <w:b w:val="1"/>
        </w:rPr>
      </w:pPr>
    </w:p>
    <w:p w14:paraId="3A000000">
      <w:pPr>
        <w:widowControl w:val="0"/>
        <w:ind w:firstLine="540" w:left="0"/>
        <w:jc w:val="both"/>
        <w:rPr>
          <w:b w:val="1"/>
        </w:rPr>
      </w:pPr>
      <w:r>
        <w:rPr>
          <w:b w:val="1"/>
        </w:rPr>
        <w:t xml:space="preserve">2. Планируемый объем обрабатываемых, обезвреживаемых и размещаемых твердых коммунальных отходов </w:t>
      </w:r>
    </w:p>
    <w:p w14:paraId="3B000000">
      <w:pPr>
        <w:widowControl w:val="0"/>
        <w:ind w:firstLine="540" w:left="0"/>
        <w:jc w:val="both"/>
        <w:rPr>
          <w:b w:val="1"/>
        </w:rPr>
      </w:pPr>
    </w:p>
    <w:tbl>
      <w:tblPr>
        <w:tblStyle w:val="Style_1"/>
        <w:tblInd w:type="dxa" w:w="96"/>
        <w:tblLayout w:type="fixed"/>
      </w:tblPr>
      <w:tblGrid>
        <w:gridCol w:w="574"/>
        <w:gridCol w:w="2389"/>
        <w:gridCol w:w="1124"/>
        <w:gridCol w:w="1014"/>
        <w:gridCol w:w="1124"/>
        <w:gridCol w:w="984"/>
        <w:gridCol w:w="1124"/>
        <w:gridCol w:w="985"/>
      </w:tblGrid>
      <w:tr>
        <w:trPr>
          <w:trHeight w:hRule="atLeast" w:val="297"/>
        </w:trPr>
        <w:tc>
          <w:tcPr>
            <w:tcW w:type="dxa" w:w="5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type="dxa" w:w="238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Вид регулируемой деятельности</w:t>
            </w:r>
          </w:p>
        </w:tc>
        <w:tc>
          <w:tcPr>
            <w:tcW w:type="dxa" w:w="11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Ед. изм.</w:t>
            </w:r>
          </w:p>
        </w:tc>
        <w:tc>
          <w:tcPr>
            <w:tcW w:type="dxa" w:w="523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Период регулирования</w:t>
            </w:r>
          </w:p>
        </w:tc>
      </w:tr>
      <w:tr>
        <w:trPr>
          <w:trHeight w:hRule="atLeast" w:val="303"/>
        </w:trPr>
        <w:tc>
          <w:tcPr>
            <w:tcW w:type="dxa" w:w="5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38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1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type="dxa" w:w="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2000000">
            <w:pPr>
              <w:ind/>
              <w:jc w:val="center"/>
            </w:pPr>
            <w:r>
              <w:rPr>
                <w:sz w:val="20"/>
              </w:rPr>
              <w:t>2025 год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ind/>
              <w:jc w:val="center"/>
            </w:pPr>
            <w:r>
              <w:rPr>
                <w:sz w:val="20"/>
              </w:rPr>
              <w:t>2026 год</w:t>
            </w:r>
          </w:p>
        </w:tc>
        <w:tc>
          <w:tcPr>
            <w:tcW w:type="dxa" w:w="98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ind/>
              <w:jc w:val="center"/>
            </w:pPr>
            <w:r>
              <w:rPr>
                <w:sz w:val="20"/>
              </w:rPr>
              <w:t>2027 год</w:t>
            </w:r>
          </w:p>
        </w:tc>
      </w:tr>
      <w:tr>
        <w:trPr>
          <w:trHeight w:hRule="exact" w:val="368"/>
        </w:trPr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2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Обработка ТКО 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9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A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B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C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exact" w:val="397"/>
        </w:trPr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2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Обезвреживание ТКО 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ind/>
              <w:jc w:val="center"/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1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3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4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exact" w:val="397"/>
        </w:trPr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2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Захоронение ТКО 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00000">
            <w:pPr>
              <w:ind/>
              <w:jc w:val="center"/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00000">
            <w:pPr>
              <w:ind/>
              <w:jc w:val="center"/>
              <w:rPr>
                <w:sz w:val="20"/>
              </w:rPr>
            </w:pPr>
            <w:r>
              <w:rPr>
                <w:rFonts w:ascii="TimesNewRomanPSMT" w:hAnsi="TimesNewRomanPSMT"/>
                <w:sz w:val="20"/>
              </w:rPr>
              <w:t>7,12</w:t>
            </w:r>
          </w:p>
        </w:tc>
        <w:tc>
          <w:tcPr>
            <w:tcW w:type="dxa" w:w="112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9000000">
            <w:pPr>
              <w:ind/>
              <w:jc w:val="center"/>
            </w:pPr>
            <w:r>
              <w:rPr>
                <w:rFonts w:ascii="TimesNewRomanPSMT" w:hAnsi="TimesNewRomanPSMT"/>
                <w:sz w:val="20"/>
              </w:rPr>
              <w:t>8,50</w:t>
            </w:r>
          </w:p>
        </w:tc>
        <w:tc>
          <w:tcPr>
            <w:tcW w:type="dxa" w:w="98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A000000">
            <w:pPr>
              <w:ind/>
              <w:jc w:val="center"/>
              <w:rPr>
                <w:highlight w:val="yellow"/>
              </w:rPr>
            </w:pPr>
            <w:r>
              <w:rPr>
                <w:sz w:val="20"/>
              </w:rPr>
              <w:t>7,67</w:t>
            </w:r>
          </w:p>
        </w:tc>
        <w:tc>
          <w:tcPr>
            <w:tcW w:type="dxa" w:w="112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B000000">
            <w:pPr>
              <w:ind/>
              <w:jc w:val="center"/>
              <w:rPr>
                <w:highlight w:val="yellow"/>
              </w:rPr>
            </w:pPr>
            <w:r>
              <w:rPr>
                <w:sz w:val="20"/>
              </w:rPr>
              <w:t>7,67</w:t>
            </w:r>
          </w:p>
        </w:tc>
        <w:tc>
          <w:tcPr>
            <w:tcW w:type="dxa" w:w="98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C000000">
            <w:pPr>
              <w:ind/>
              <w:jc w:val="center"/>
            </w:pPr>
            <w:r>
              <w:rPr>
                <w:sz w:val="20"/>
              </w:rPr>
              <w:t>7,12</w:t>
            </w:r>
          </w:p>
        </w:tc>
      </w:tr>
    </w:tbl>
    <w:p w14:paraId="5D000000">
      <w:pPr>
        <w:widowControl w:val="0"/>
        <w:ind/>
        <w:jc w:val="both"/>
        <w:rPr>
          <w:b w:val="1"/>
        </w:rPr>
      </w:pPr>
    </w:p>
    <w:p w14:paraId="5E000000">
      <w:pPr>
        <w:widowControl w:val="0"/>
        <w:ind w:firstLine="540" w:left="0"/>
        <w:jc w:val="both"/>
        <w:rPr>
          <w:b w:val="1"/>
          <w:shd w:fill="FFD821" w:val="clear"/>
        </w:rPr>
      </w:pPr>
      <w:r>
        <w:rPr>
          <w:b w:val="1"/>
        </w:rPr>
        <w:t xml:space="preserve">3. Объем финансовых потребностей, необходимых для реализации производственной программы </w:t>
      </w:r>
    </w:p>
    <w:p w14:paraId="5F000000">
      <w:pPr>
        <w:widowControl w:val="0"/>
        <w:ind w:firstLine="540" w:left="0"/>
        <w:jc w:val="both"/>
        <w:rPr>
          <w:b w:val="1"/>
        </w:rPr>
      </w:pPr>
    </w:p>
    <w:tbl>
      <w:tblPr>
        <w:tblStyle w:val="Style_1"/>
        <w:tblInd w:type="dxa" w:w="75"/>
        <w:tblLayout w:type="fixed"/>
        <w:tblCellMar>
          <w:left w:type="dxa" w:w="75"/>
          <w:right w:type="dxa" w:w="75"/>
        </w:tblCellMar>
      </w:tblPr>
      <w:tblGrid>
        <w:gridCol w:w="3385"/>
        <w:gridCol w:w="988"/>
        <w:gridCol w:w="987"/>
        <w:gridCol w:w="1128"/>
        <w:gridCol w:w="987"/>
        <w:gridCol w:w="987"/>
        <w:gridCol w:w="988"/>
      </w:tblGrid>
      <w:tr>
        <w:trPr>
          <w:trHeight w:hRule="atLeast" w:val="248"/>
        </w:trPr>
        <w:tc>
          <w:tcPr>
            <w:tcW w:type="dxa" w:w="33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0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Вид регулируемой деятельности</w:t>
            </w:r>
          </w:p>
        </w:tc>
        <w:tc>
          <w:tcPr>
            <w:tcW w:type="dxa" w:w="98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1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Ед. изм.</w:t>
            </w:r>
          </w:p>
        </w:tc>
        <w:tc>
          <w:tcPr>
            <w:tcW w:type="dxa" w:w="507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Период регулирования </w:t>
            </w:r>
          </w:p>
        </w:tc>
      </w:tr>
      <w:tr>
        <w:trPr>
          <w:trHeight w:hRule="atLeast" w:val="200"/>
        </w:trPr>
        <w:tc>
          <w:tcPr>
            <w:tcW w:type="dxa" w:w="3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/>
        </w:tc>
        <w:tc>
          <w:tcPr>
            <w:tcW w:type="dxa" w:w="9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/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5000000">
            <w:pPr>
              <w:ind/>
              <w:jc w:val="center"/>
            </w:pPr>
            <w:r>
              <w:rPr>
                <w:sz w:val="20"/>
              </w:rPr>
              <w:t>2025 год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6000000">
            <w:pPr>
              <w:ind/>
              <w:jc w:val="center"/>
            </w:pPr>
            <w:r>
              <w:rPr>
                <w:sz w:val="20"/>
              </w:rPr>
              <w:t>2026 год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7000000">
            <w:pPr>
              <w:ind/>
              <w:jc w:val="center"/>
            </w:pPr>
            <w:r>
              <w:rPr>
                <w:sz w:val="20"/>
              </w:rPr>
              <w:t>2027 год</w:t>
            </w:r>
          </w:p>
        </w:tc>
      </w:tr>
      <w:tr>
        <w:trPr>
          <w:trHeight w:hRule="atLeast" w:val="358"/>
        </w:trPr>
        <w:tc>
          <w:tcPr>
            <w:tcW w:type="dxa" w:w="3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8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Обработка ТКО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9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A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B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C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D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E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380"/>
        </w:trPr>
        <w:tc>
          <w:tcPr>
            <w:tcW w:type="dxa" w:w="3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F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Обезвреживание ТКО 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1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2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3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4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5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408"/>
        </w:trPr>
        <w:tc>
          <w:tcPr>
            <w:tcW w:type="dxa" w:w="3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6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Захоронение ТКО 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900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A00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B00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C00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</w:tr>
    </w:tbl>
    <w:p w14:paraId="7D000000">
      <w:pPr>
        <w:widowControl w:val="0"/>
        <w:ind w:firstLine="540" w:left="0"/>
        <w:jc w:val="both"/>
        <w:rPr>
          <w:sz w:val="16"/>
        </w:rPr>
      </w:pPr>
    </w:p>
    <w:p w14:paraId="7E000000"/>
    <w:p w14:paraId="7F000000">
      <w:pPr>
        <w:sectPr>
          <w:pgSz w:h="16838" w:orient="portrait" w:w="11906"/>
          <w:pgMar w:bottom="1134" w:footer="709" w:gutter="0" w:header="709" w:left="1701" w:right="680" w:top="1134"/>
        </w:sectPr>
      </w:pPr>
    </w:p>
    <w:p w14:paraId="80000000">
      <w:pPr>
        <w:widowControl w:val="0"/>
        <w:ind w:firstLine="540" w:left="0" w:right="252"/>
        <w:jc w:val="both"/>
        <w:rPr>
          <w:b w:val="1"/>
        </w:rPr>
      </w:pPr>
      <w:r>
        <w:rPr>
          <w:b w:val="1"/>
        </w:rPr>
        <w:t>4. Перечень и график реализации мероприятий производственной программы</w:t>
      </w: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430"/>
        <w:gridCol w:w="3408"/>
        <w:gridCol w:w="992"/>
        <w:gridCol w:w="1134"/>
        <w:gridCol w:w="992"/>
        <w:gridCol w:w="1134"/>
        <w:gridCol w:w="992"/>
        <w:gridCol w:w="1134"/>
        <w:gridCol w:w="993"/>
        <w:gridCol w:w="1134"/>
        <w:gridCol w:w="992"/>
        <w:gridCol w:w="1134"/>
      </w:tblGrid>
      <w:tr>
        <w:trPr>
          <w:trHeight w:hRule="atLeast" w:val="130"/>
        </w:trPr>
        <w:tc>
          <w:tcPr>
            <w:tcW w:type="dxa" w:w="430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  <w:vAlign w:val="center"/>
          </w:tcPr>
          <w:p w14:paraId="8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type="dxa" w:w="3408"/>
            <w:vMerge w:val="restart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left w:type="dxa" w:w="0"/>
              <w:right w:type="dxa" w:w="0"/>
            </w:tcMar>
            <w:vAlign w:val="center"/>
          </w:tcPr>
          <w:p w14:paraId="8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мероприятия</w:t>
            </w:r>
          </w:p>
        </w:tc>
        <w:tc>
          <w:tcPr>
            <w:tcW w:type="dxa" w:w="10631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Период регулирования       </w:t>
            </w:r>
          </w:p>
        </w:tc>
      </w:tr>
      <w:tr>
        <w:trPr>
          <w:trHeight w:hRule="atLeast" w:val="248"/>
        </w:trPr>
        <w:tc>
          <w:tcPr>
            <w:tcW w:type="dxa" w:w="43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340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21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type="dxa" w:w="21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type="dxa" w:w="21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6000000">
            <w:pPr>
              <w:ind/>
              <w:jc w:val="center"/>
            </w:pPr>
            <w:r>
              <w:rPr>
                <w:sz w:val="20"/>
              </w:rPr>
              <w:t>2025 год</w:t>
            </w:r>
          </w:p>
        </w:tc>
        <w:tc>
          <w:tcPr>
            <w:tcW w:type="dxa" w:w="21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7000000">
            <w:pPr>
              <w:ind/>
              <w:jc w:val="center"/>
            </w:pPr>
            <w:r>
              <w:rPr>
                <w:sz w:val="20"/>
              </w:rPr>
              <w:t>2026 год</w:t>
            </w:r>
          </w:p>
        </w:tc>
        <w:tc>
          <w:tcPr>
            <w:tcW w:type="dxa" w:w="21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8000000">
            <w:pPr>
              <w:ind/>
              <w:jc w:val="center"/>
            </w:pPr>
            <w:r>
              <w:rPr>
                <w:sz w:val="20"/>
              </w:rPr>
              <w:t>2027 год</w:t>
            </w:r>
          </w:p>
        </w:tc>
      </w:tr>
      <w:tr>
        <w:trPr>
          <w:trHeight w:hRule="atLeast" w:val="464"/>
        </w:trPr>
        <w:tc>
          <w:tcPr>
            <w:tcW w:type="dxa" w:w="43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340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9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График </w:t>
            </w:r>
          </w:p>
          <w:p w14:paraId="8A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  <w:vAlign w:val="center"/>
          </w:tcPr>
          <w:p w14:paraId="8B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Финансовые </w:t>
            </w:r>
          </w:p>
          <w:p w14:paraId="8C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средства, </w:t>
            </w:r>
          </w:p>
          <w:p w14:paraId="8D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E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График </w:t>
            </w:r>
          </w:p>
          <w:p w14:paraId="8F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  <w:vAlign w:val="center"/>
          </w:tcPr>
          <w:p w14:paraId="90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Финансовые </w:t>
            </w:r>
          </w:p>
          <w:p w14:paraId="91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средства, </w:t>
            </w:r>
          </w:p>
          <w:p w14:paraId="92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3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График </w:t>
            </w:r>
          </w:p>
          <w:p w14:paraId="94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5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Финансовые </w:t>
            </w:r>
          </w:p>
          <w:p w14:paraId="96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средства, </w:t>
            </w:r>
          </w:p>
          <w:p w14:paraId="97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8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График </w:t>
            </w:r>
          </w:p>
          <w:p w14:paraId="99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A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Финансовые </w:t>
            </w:r>
          </w:p>
          <w:p w14:paraId="9B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средства, </w:t>
            </w:r>
          </w:p>
          <w:p w14:paraId="9C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D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График </w:t>
            </w:r>
          </w:p>
          <w:p w14:paraId="9E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F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Финансовые</w:t>
            </w:r>
          </w:p>
          <w:p w14:paraId="A0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средства,</w:t>
            </w:r>
          </w:p>
          <w:p w14:paraId="A1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тыс. руб.</w:t>
            </w:r>
          </w:p>
        </w:tc>
      </w:tr>
      <w:tr>
        <w:trPr>
          <w:trHeight w:hRule="atLeast" w:val="176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2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3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Обработка ТКО 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3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A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B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C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D000000">
            <w:pPr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E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F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exact" w:val="397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A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B000000">
            <w:pPr>
              <w:widowControl w:val="0"/>
              <w:spacing w:line="216" w:lineRule="auto"/>
              <w:ind/>
              <w:rPr>
                <w:sz w:val="20"/>
              </w:rPr>
            </w:pPr>
            <w:r>
              <w:rPr>
                <w:sz w:val="20"/>
              </w:rPr>
              <w:t>Текущий и (или) капитальный ремонт объектов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37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600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7000000">
            <w:pPr>
              <w:widowControl w:val="0"/>
              <w:ind/>
              <w:rPr>
                <w:b w:val="1"/>
                <w:sz w:val="22"/>
              </w:rPr>
            </w:pPr>
            <w:r>
              <w:rPr>
                <w:sz w:val="20"/>
              </w:rPr>
              <w:t>Обезвреживание ТКО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E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F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0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1000000">
            <w:pPr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2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3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exact" w:val="397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E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F000000">
            <w:pPr>
              <w:widowControl w:val="0"/>
              <w:spacing w:line="216" w:lineRule="auto"/>
              <w:ind/>
              <w:rPr>
                <w:sz w:val="20"/>
              </w:rPr>
            </w:pPr>
            <w:r>
              <w:rPr>
                <w:sz w:val="20"/>
              </w:rPr>
              <w:t>Текущий и (или) капитальный ремонт объектов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190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A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B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Захоронение ТКО 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C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D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E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F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0000000">
            <w:pPr>
              <w:ind/>
              <w:jc w:val="center"/>
              <w:rPr>
                <w:sz w:val="20"/>
                <w:highlight w:val="yellow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1000000">
            <w:pPr>
              <w:ind/>
              <w:jc w:val="center"/>
              <w:rPr>
                <w:sz w:val="20"/>
                <w:highlight w:val="yellow"/>
              </w:rPr>
            </w:pP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2000000">
            <w:pPr>
              <w:ind/>
              <w:jc w:val="center"/>
              <w:rPr>
                <w:sz w:val="20"/>
                <w:highlight w:val="yellow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3000000">
            <w:pPr>
              <w:ind/>
              <w:jc w:val="center"/>
              <w:rPr>
                <w:sz w:val="20"/>
                <w:highlight w:val="yellow"/>
              </w:rPr>
            </w:pP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4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5000000">
            <w:pPr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6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7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hRule="exact" w:val="397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2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3010000">
            <w:pPr>
              <w:widowControl w:val="0"/>
              <w:spacing w:line="216" w:lineRule="auto"/>
              <w:ind/>
              <w:rPr>
                <w:sz w:val="20"/>
              </w:rPr>
            </w:pPr>
            <w:r>
              <w:rPr>
                <w:sz w:val="20"/>
              </w:rPr>
              <w:t>Текущий и (или) капитальный ремонт объектов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hRule="atLeast" w:val="264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E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F010000">
            <w:pPr>
              <w:rPr>
                <w:sz w:val="20"/>
              </w:rPr>
            </w:pPr>
            <w:r>
              <w:rPr>
                <w:sz w:val="20"/>
              </w:rPr>
              <w:t>Итого, тыс. руб.:</w:t>
            </w:r>
          </w:p>
        </w:tc>
        <w:tc>
          <w:tcPr>
            <w:tcW w:type="dxa" w:w="2126"/>
            <w:gridSpan w:val="2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2126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1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2126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2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2127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3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2126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4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</w:tr>
    </w:tbl>
    <w:p w14:paraId="15010000">
      <w:pPr>
        <w:widowControl w:val="0"/>
        <w:ind w:firstLine="540" w:left="0"/>
        <w:jc w:val="both"/>
        <w:rPr>
          <w:b w:val="1"/>
          <w:sz w:val="18"/>
        </w:rPr>
      </w:pPr>
    </w:p>
    <w:p w14:paraId="16010000">
      <w:pPr>
        <w:widowControl w:val="0"/>
        <w:ind w:firstLine="540" w:left="0"/>
        <w:jc w:val="both"/>
        <w:rPr>
          <w:b w:val="1"/>
          <w:sz w:val="18"/>
        </w:rPr>
      </w:pPr>
      <w:r>
        <w:rPr>
          <w:b w:val="1"/>
        </w:rPr>
        <w:t xml:space="preserve">5. Плановые и фактические значения показателей эффективности объектов </w:t>
      </w:r>
    </w:p>
    <w:tbl>
      <w:tblPr>
        <w:tblStyle w:val="Style_1"/>
        <w:tblInd w:type="dxa" w:w="5"/>
        <w:tblLayout w:type="fixed"/>
        <w:tblCellMar>
          <w:left w:type="dxa" w:w="0"/>
          <w:right w:type="dxa" w:w="0"/>
        </w:tblCellMar>
      </w:tblPr>
      <w:tblGrid>
        <w:gridCol w:w="426"/>
        <w:gridCol w:w="6554"/>
        <w:gridCol w:w="645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>
        <w:trPr>
          <w:trHeight w:hRule="atLeast" w:val="354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type="dxa" w:w="65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type="dxa" w:w="6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Ед. </w:t>
            </w:r>
          </w:p>
          <w:p w14:paraId="1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type="dxa" w:w="2551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B010000">
            <w:pPr>
              <w:spacing w:line="216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Фактические значения показателей эффективности</w:t>
            </w:r>
          </w:p>
        </w:tc>
        <w:tc>
          <w:tcPr>
            <w:tcW w:type="dxa" w:w="4253"/>
            <w:gridSpan w:val="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C010000">
            <w:pPr>
              <w:spacing w:line="216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Плановые значения показателей эффективности </w:t>
            </w:r>
          </w:p>
          <w:p w14:paraId="1D010000">
            <w:pPr>
              <w:spacing w:line="216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 период регулирования</w:t>
            </w:r>
          </w:p>
        </w:tc>
      </w:tr>
      <w:tr>
        <w:trPr>
          <w:trHeight w:hRule="atLeast" w:val="249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65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6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3010000">
            <w:pPr>
              <w:ind/>
              <w:jc w:val="center"/>
            </w:pPr>
            <w:r>
              <w:rPr>
                <w:sz w:val="20"/>
              </w:rPr>
              <w:t>2025 год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4010000">
            <w:pPr>
              <w:ind/>
              <w:jc w:val="center"/>
            </w:pPr>
            <w:r>
              <w:rPr>
                <w:sz w:val="20"/>
              </w:rPr>
              <w:t>2026 год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5010000">
            <w:pPr>
              <w:ind/>
              <w:jc w:val="center"/>
            </w:pPr>
            <w:r>
              <w:rPr>
                <w:sz w:val="20"/>
              </w:rPr>
              <w:t>2027 год</w:t>
            </w:r>
          </w:p>
        </w:tc>
      </w:tr>
      <w:tr>
        <w:trPr>
          <w:trHeight w:hRule="atLeast" w:val="27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65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7010000">
            <w:pPr>
              <w:rPr>
                <w:sz w:val="20"/>
              </w:rPr>
            </w:pPr>
            <w:r>
              <w:rPr>
                <w:sz w:val="20"/>
              </w:rPr>
              <w:t>Захоронение ТКО</w:t>
            </w:r>
          </w:p>
        </w:tc>
        <w:tc>
          <w:tcPr>
            <w:tcW w:type="dxa" w:w="64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28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9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A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B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2C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2D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2E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F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0010000">
            <w:pPr>
              <w:rPr>
                <w:sz w:val="20"/>
              </w:rPr>
            </w:pPr>
          </w:p>
        </w:tc>
      </w:tr>
      <w:tr>
        <w:trPr>
          <w:trHeight w:hRule="atLeast" w:val="609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type="dxa" w:w="655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2010000">
            <w:pPr>
              <w:spacing w:line="216" w:lineRule="auto"/>
              <w:ind/>
              <w:rPr>
                <w:sz w:val="20"/>
              </w:rPr>
            </w:pPr>
            <w:r>
              <w:rPr>
                <w:sz w:val="20"/>
              </w:rPr>
              <w:t>доля проб подземных вод, почвы и воздуха, отобранных по результатам производственного экологического контроля, не соответствующих установленным требованиям, в общем объеме таких проб</w:t>
            </w:r>
          </w:p>
        </w:tc>
        <w:tc>
          <w:tcPr>
            <w:tcW w:type="dxa" w:w="6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hRule="atLeast" w:val="435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type="dxa" w:w="655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D010000">
            <w:pPr>
              <w:rPr>
                <w:sz w:val="20"/>
              </w:rPr>
            </w:pPr>
            <w:r>
              <w:rPr>
                <w:sz w:val="20"/>
              </w:rPr>
              <w:t>количество возгораний ТКО в расчете на единицу площади объекта захоронения ТКО</w:t>
            </w:r>
          </w:p>
        </w:tc>
        <w:tc>
          <w:tcPr>
            <w:tcW w:type="dxa" w:w="6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шт</w:t>
            </w:r>
            <w:r>
              <w:rPr>
                <w:sz w:val="20"/>
              </w:rPr>
              <w:t>/га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hRule="atLeast" w:val="27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65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8010000">
            <w:pPr>
              <w:rPr>
                <w:sz w:val="20"/>
              </w:rPr>
            </w:pPr>
            <w:r>
              <w:rPr>
                <w:sz w:val="20"/>
              </w:rPr>
              <w:t>Обработка ТКО</w:t>
            </w:r>
          </w:p>
        </w:tc>
        <w:tc>
          <w:tcPr>
            <w:tcW w:type="dxa" w:w="64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49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A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C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4D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4E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4F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0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1010000">
            <w:pPr>
              <w:rPr>
                <w:sz w:val="20"/>
              </w:rPr>
            </w:pPr>
          </w:p>
        </w:tc>
      </w:tr>
      <w:tr>
        <w:trPr>
          <w:trHeight w:hRule="atLeast" w:val="34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type="dxa" w:w="655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3010000">
            <w:pPr>
              <w:rPr>
                <w:sz w:val="20"/>
              </w:rPr>
            </w:pPr>
            <w:r>
              <w:rPr>
                <w:sz w:val="20"/>
              </w:rPr>
              <w:t>доля ТКО, направляемых на утилизацию, в массе ТКО, принятых на обработку</w:t>
            </w:r>
          </w:p>
        </w:tc>
        <w:tc>
          <w:tcPr>
            <w:tcW w:type="dxa" w:w="6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7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65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E010000">
            <w:pPr>
              <w:rPr>
                <w:sz w:val="20"/>
              </w:rPr>
            </w:pPr>
            <w:r>
              <w:rPr>
                <w:sz w:val="20"/>
              </w:rPr>
              <w:t>Обезвреживание ТКО</w:t>
            </w:r>
          </w:p>
        </w:tc>
        <w:tc>
          <w:tcPr>
            <w:tcW w:type="dxa" w:w="64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5F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1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2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63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64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65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6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7010000">
            <w:pPr>
              <w:rPr>
                <w:sz w:val="20"/>
              </w:rPr>
            </w:pPr>
          </w:p>
        </w:tc>
      </w:tr>
      <w:tr>
        <w:trPr>
          <w:trHeight w:hRule="atLeast" w:val="27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type="dxa" w:w="65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9010000">
            <w:pPr>
              <w:rPr>
                <w:sz w:val="20"/>
              </w:rPr>
            </w:pPr>
            <w:r>
              <w:rPr>
                <w:sz w:val="20"/>
              </w:rPr>
              <w:t>показатель снижения класса опасности ТКО</w:t>
            </w:r>
          </w:p>
        </w:tc>
        <w:tc>
          <w:tcPr>
            <w:tcW w:type="dxa" w:w="64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6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B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C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D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6E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6F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70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2010000">
            <w:pPr>
              <w:rPr>
                <w:sz w:val="20"/>
              </w:rPr>
            </w:pPr>
          </w:p>
        </w:tc>
      </w:tr>
      <w:tr>
        <w:trPr>
          <w:trHeight w:hRule="atLeast" w:val="58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type="dxa" w:w="655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4010000">
            <w:pPr>
              <w:spacing w:line="216" w:lineRule="auto"/>
              <w:ind/>
              <w:rPr>
                <w:sz w:val="20"/>
              </w:rPr>
            </w:pPr>
            <w:r>
              <w:rPr>
                <w:sz w:val="20"/>
              </w:rPr>
              <w:t>количество выработанной и отпущенной в сеть тепловой и электрической энергии, топлива, полученного из ТКО, в расчете на 1 тонну ТКО, поступивших на объект обезвреживания ТКО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Дж/</w:t>
            </w:r>
            <w:r>
              <w:rPr>
                <w:sz w:val="20"/>
              </w:rPr>
              <w:t>тн</w:t>
            </w:r>
            <w:r>
              <w:rPr>
                <w:sz w:val="20"/>
              </w:rPr>
              <w:t xml:space="preserve">, </w:t>
            </w:r>
          </w:p>
          <w:p w14:paraId="7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кг/</w:t>
            </w:r>
            <w:r>
              <w:rPr>
                <w:sz w:val="20"/>
              </w:rPr>
              <w:t>тн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700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type="dxa" w:w="655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0010000">
            <w:pPr>
              <w:rPr>
                <w:sz w:val="20"/>
              </w:rPr>
            </w:pPr>
            <w:r>
              <w:rPr>
                <w:sz w:val="20"/>
              </w:rPr>
              <w:t>доля проб подземных вод, почвы и воздуха, отобранных по результатам производственного экологического контроля, не соответствующих установленным требованиям, в общем объеме таких проб</w:t>
            </w:r>
          </w:p>
        </w:tc>
        <w:tc>
          <w:tcPr>
            <w:tcW w:type="dxa" w:w="6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8A010000">
      <w:pPr>
        <w:sectPr>
          <w:pgSz w:h="11906" w:orient="landscape" w:w="16838"/>
          <w:pgMar w:bottom="567" w:footer="709" w:gutter="0" w:header="709" w:left="1134" w:right="1134" w:top="1588"/>
        </w:sectPr>
      </w:pPr>
    </w:p>
    <w:p w14:paraId="8B010000">
      <w:pPr>
        <w:widowControl w:val="0"/>
        <w:ind/>
        <w:jc w:val="both"/>
        <w:rPr>
          <w:b w:val="1"/>
        </w:rPr>
      </w:pPr>
    </w:p>
    <w:p w14:paraId="8C010000">
      <w:pPr>
        <w:widowControl w:val="0"/>
        <w:ind w:firstLine="540" w:left="0"/>
        <w:jc w:val="both"/>
        <w:rPr>
          <w:b w:val="1"/>
        </w:rPr>
      </w:pPr>
      <w:r>
        <w:rPr>
          <w:b w:val="1"/>
        </w:rPr>
        <w:t>6. Отчет об исполнении производственной программы за истекший период регулирования (за истекший год долгосрочного периода регулирования)</w:t>
      </w:r>
    </w:p>
    <w:p w14:paraId="8D010000">
      <w:pPr>
        <w:widowControl w:val="0"/>
        <w:ind w:firstLine="540" w:left="0"/>
        <w:jc w:val="both"/>
        <w:rPr>
          <w:b w:val="1"/>
          <w:sz w:val="20"/>
        </w:rPr>
      </w:pPr>
    </w:p>
    <w:p w14:paraId="8E010000">
      <w:pPr>
        <w:widowControl w:val="0"/>
        <w:ind w:firstLine="540" w:left="0"/>
        <w:jc w:val="both"/>
        <w:rPr>
          <w:b w:val="1"/>
        </w:rPr>
      </w:pPr>
      <w:r>
        <w:rPr>
          <w:b w:val="1"/>
        </w:rPr>
        <w:t xml:space="preserve">6.1. Объем твердых коммунальных отходов </w:t>
      </w:r>
    </w:p>
    <w:tbl>
      <w:tblPr>
        <w:tblStyle w:val="Style_1"/>
        <w:tblInd w:type="dxa" w:w="96"/>
        <w:tblLayout w:type="fixed"/>
      </w:tblPr>
      <w:tblGrid>
        <w:gridCol w:w="557"/>
        <w:gridCol w:w="3170"/>
        <w:gridCol w:w="1701"/>
        <w:gridCol w:w="1984"/>
        <w:gridCol w:w="1985"/>
      </w:tblGrid>
      <w:tr>
        <w:trPr>
          <w:trHeight w:hRule="atLeast" w:val="297"/>
        </w:trPr>
        <w:tc>
          <w:tcPr>
            <w:tcW w:type="dxa" w:w="5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type="dxa" w:w="3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Вид регулируемой деятельности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Ед. изм.</w:t>
            </w:r>
          </w:p>
        </w:tc>
        <w:tc>
          <w:tcPr>
            <w:tcW w:type="dxa" w:w="3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 год</w:t>
            </w:r>
          </w:p>
        </w:tc>
      </w:tr>
      <w:tr>
        <w:trPr>
          <w:trHeight w:hRule="atLeast" w:val="528"/>
        </w:trPr>
        <w:tc>
          <w:tcPr>
            <w:tcW w:type="dxa" w:w="5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</w:tr>
      <w:tr>
        <w:trPr>
          <w:trHeight w:hRule="atLeast" w:val="284"/>
        </w:trPr>
        <w:tc>
          <w:tcPr>
            <w:tcW w:type="dxa" w:w="5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3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Обработка ТКО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куб. м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84"/>
        </w:trPr>
        <w:tc>
          <w:tcPr>
            <w:tcW w:type="dxa" w:w="5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84"/>
        </w:trPr>
        <w:tc>
          <w:tcPr>
            <w:tcW w:type="dxa" w:w="5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3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Обезвреживание ТКО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куб. м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8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70"/>
        </w:trPr>
        <w:tc>
          <w:tcPr>
            <w:tcW w:type="dxa" w:w="5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8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46"/>
        </w:trPr>
        <w:tc>
          <w:tcPr>
            <w:tcW w:type="dxa" w:w="5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3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Захоронение ТКО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куб. м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84"/>
        </w:trPr>
        <w:tc>
          <w:tcPr>
            <w:tcW w:type="dxa" w:w="5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ind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8,50</w:t>
            </w:r>
          </w:p>
        </w:tc>
        <w:tc>
          <w:tcPr>
            <w:tcW w:type="dxa" w:w="198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ind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8,32</w:t>
            </w:r>
          </w:p>
        </w:tc>
      </w:tr>
    </w:tbl>
    <w:p w14:paraId="AD010000">
      <w:pPr>
        <w:widowControl w:val="0"/>
        <w:ind w:firstLine="540" w:left="0"/>
        <w:jc w:val="both"/>
        <w:rPr>
          <w:b w:val="1"/>
        </w:rPr>
      </w:pPr>
    </w:p>
    <w:p w14:paraId="AE010000">
      <w:pPr>
        <w:widowControl w:val="0"/>
        <w:ind w:firstLine="540" w:left="0"/>
        <w:jc w:val="both"/>
        <w:rPr>
          <w:b w:val="1"/>
        </w:rPr>
      </w:pPr>
    </w:p>
    <w:p w14:paraId="AF010000">
      <w:pPr>
        <w:widowControl w:val="0"/>
        <w:ind w:firstLine="540" w:left="0"/>
        <w:jc w:val="both"/>
        <w:rPr>
          <w:b w:val="1"/>
        </w:rPr>
      </w:pPr>
      <w:r>
        <w:rPr>
          <w:b w:val="1"/>
        </w:rPr>
        <w:t>6.2. Перечень мероприятий производственной программы</w:t>
      </w:r>
    </w:p>
    <w:tbl>
      <w:tblPr>
        <w:tblStyle w:val="Style_1"/>
        <w:tblInd w:type="dxa" w:w="137"/>
        <w:tblLayout w:type="fixed"/>
        <w:tblCellMar>
          <w:left w:type="dxa" w:w="75"/>
          <w:right w:type="dxa" w:w="75"/>
        </w:tblCellMar>
      </w:tblPr>
      <w:tblGrid>
        <w:gridCol w:w="567"/>
        <w:gridCol w:w="4820"/>
        <w:gridCol w:w="1984"/>
        <w:gridCol w:w="1985"/>
      </w:tblGrid>
      <w:tr>
        <w:trPr>
          <w:trHeight w:hRule="atLeast" w:val="252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B0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type="dxa" w:w="48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B1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мероприятия</w:t>
            </w:r>
          </w:p>
        </w:tc>
        <w:tc>
          <w:tcPr>
            <w:tcW w:type="dxa" w:w="3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2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Финансовые средства, тыс. руб.</w:t>
            </w:r>
          </w:p>
        </w:tc>
      </w:tr>
      <w:tr>
        <w:trPr>
          <w:trHeight w:hRule="atLeast" w:val="25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/>
        </w:tc>
        <w:tc>
          <w:tcPr>
            <w:tcW w:type="dxa" w:w="48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/>
        </w:tc>
        <w:tc>
          <w:tcPr>
            <w:tcW w:type="dxa" w:w="3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B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</w:tr>
      <w:tr>
        <w:trPr>
          <w:trHeight w:hRule="atLeast" w:val="13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/>
        </w:tc>
        <w:tc>
          <w:tcPr>
            <w:tcW w:type="dxa" w:w="48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/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4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5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Факт</w:t>
            </w:r>
          </w:p>
        </w:tc>
      </w:tr>
      <w:tr>
        <w:tc>
          <w:tcPr>
            <w:tcW w:type="dxa" w:w="56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6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B7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Обработка ТКО 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B901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c>
          <w:tcPr>
            <w:tcW w:type="dxa" w:w="56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BB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BC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BD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c>
          <w:tcPr>
            <w:tcW w:type="dxa" w:w="56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BF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Текущий и (или) капитальный ремонт объектов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c>
          <w:tcPr>
            <w:tcW w:type="dxa" w:w="56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201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C3010000">
            <w:pPr>
              <w:widowControl w:val="0"/>
              <w:ind/>
              <w:jc w:val="both"/>
              <w:rPr>
                <w:b w:val="1"/>
                <w:sz w:val="22"/>
              </w:rPr>
            </w:pPr>
            <w:r>
              <w:rPr>
                <w:sz w:val="20"/>
              </w:rPr>
              <w:t>Обезвреживание ТКО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C401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C501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c>
          <w:tcPr>
            <w:tcW w:type="dxa" w:w="56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6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C7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C8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C9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c>
          <w:tcPr>
            <w:tcW w:type="dxa" w:w="56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A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CB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Текущий и (или) капитальный ремонт объектов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CC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CD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c>
          <w:tcPr>
            <w:tcW w:type="dxa" w:w="56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E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CF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Захоронение ТКО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D001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D101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c>
          <w:tcPr>
            <w:tcW w:type="dxa" w:w="56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2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D3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D4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D5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</w:tr>
      <w:tr>
        <w:tc>
          <w:tcPr>
            <w:tcW w:type="dxa" w:w="56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6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D7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Текущий и (или) капитальный ремонт объектов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D8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D9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DA01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DB010000">
            <w:pPr>
              <w:widowControl w:val="0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DC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center"/>
          </w:tcPr>
          <w:p w14:paraId="DD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</w:tr>
    </w:tbl>
    <w:p w14:paraId="DE010000">
      <w:pPr>
        <w:widowControl w:val="0"/>
        <w:ind w:firstLine="540" w:left="0"/>
        <w:jc w:val="both"/>
      </w:pPr>
    </w:p>
    <w:p w14:paraId="DF010000">
      <w:pPr>
        <w:widowControl w:val="0"/>
        <w:ind w:firstLine="540" w:left="0"/>
        <w:jc w:val="both"/>
      </w:pPr>
    </w:p>
    <w:p w14:paraId="E0010000">
      <w:pPr>
        <w:widowControl w:val="0"/>
        <w:ind w:firstLine="540" w:left="0"/>
        <w:jc w:val="both"/>
      </w:pPr>
    </w:p>
    <w:p w14:paraId="E1010000">
      <w:pPr>
        <w:widowControl w:val="0"/>
        <w:ind w:firstLine="540" w:left="0"/>
        <w:jc w:val="both"/>
      </w:pPr>
    </w:p>
    <w:p w14:paraId="E2010000">
      <w:pPr>
        <w:widowControl w:val="0"/>
        <w:ind w:firstLine="540" w:left="0"/>
        <w:jc w:val="both"/>
      </w:pPr>
    </w:p>
    <w:sectPr>
      <w:pgSz w:h="16848" w:orient="portrait" w:w="11908"/>
      <w:pgMar w:bottom="1134" w:footer="709" w:gutter="0" w:header="709" w:left="1701" w:right="62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6"/>
    <w:next w:val="Style_5"/>
    <w:link w:val="Style_9_ch"/>
    <w:uiPriority w:val="39"/>
    <w:pPr>
      <w:ind w:firstLine="0"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Обычный1"/>
    <w:link w:val="Style_10_ch"/>
    <w:rPr>
      <w:sz w:val="24"/>
    </w:rPr>
  </w:style>
  <w:style w:styleId="Style_10_ch" w:type="character">
    <w:name w:val="Обычный1"/>
    <w:link w:val="Style_10"/>
    <w:rPr>
      <w:sz w:val="24"/>
    </w:rPr>
  </w:style>
  <w:style w:styleId="Style_11" w:type="paragraph">
    <w:name w:val="toc 7"/>
    <w:next w:val="Style_5"/>
    <w:link w:val="Style_11_ch"/>
    <w:uiPriority w:val="39"/>
    <w:pPr>
      <w:ind w:firstLine="0"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Balloon Text"/>
    <w:basedOn w:val="Style_5"/>
    <w:link w:val="Style_13_ch"/>
    <w:rPr>
      <w:rFonts w:ascii="Tahoma" w:hAnsi="Tahoma"/>
      <w:sz w:val="16"/>
    </w:rPr>
  </w:style>
  <w:style w:styleId="Style_13_ch" w:type="character">
    <w:name w:val="Balloon Text"/>
    <w:basedOn w:val="Style_5_ch"/>
    <w:link w:val="Style_13"/>
    <w:rPr>
      <w:rFonts w:ascii="Tahoma" w:hAnsi="Tahoma"/>
      <w:sz w:val="16"/>
    </w:rPr>
  </w:style>
  <w:style w:styleId="Style_14" w:type="paragraph">
    <w:name w:val="Основной шрифт абзаца3"/>
    <w:link w:val="Style_14_ch"/>
  </w:style>
  <w:style w:styleId="Style_14_ch" w:type="character">
    <w:name w:val="Основной шрифт абзаца3"/>
    <w:link w:val="Style_14"/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15" w:type="paragraph">
    <w:name w:val="Знак сноски1"/>
    <w:link w:val="Style_15_ch"/>
    <w:rPr>
      <w:vertAlign w:val="superscript"/>
    </w:rPr>
  </w:style>
  <w:style w:styleId="Style_15_ch" w:type="character">
    <w:name w:val="Знак сноски1"/>
    <w:link w:val="Style_15"/>
    <w:rPr>
      <w:vertAlign w:val="superscript"/>
    </w:rPr>
  </w:style>
  <w:style w:styleId="Style_16" w:type="paragraph">
    <w:name w:val="toc 3"/>
    <w:next w:val="Style_5"/>
    <w:link w:val="Style_16_ch"/>
    <w:uiPriority w:val="39"/>
    <w:pPr>
      <w:ind w:firstLine="0"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Основной шрифт абзаца1"/>
    <w:link w:val="Style_17_ch"/>
  </w:style>
  <w:style w:styleId="Style_17_ch" w:type="character">
    <w:name w:val="Основной шрифт абзаца1"/>
    <w:link w:val="Style_17"/>
  </w:style>
  <w:style w:styleId="Style_18" w:type="paragraph">
    <w:name w:val="Основной шрифт абзаца2"/>
    <w:link w:val="Style_18_ch"/>
  </w:style>
  <w:style w:styleId="Style_18_ch" w:type="character">
    <w:name w:val="Основной шрифт абзаца2"/>
    <w:link w:val="Style_18"/>
  </w:style>
  <w:style w:styleId="Style_19" w:type="paragraph">
    <w:name w:val="Знак концевой сноски1"/>
    <w:link w:val="Style_19_ch"/>
    <w:rPr>
      <w:vertAlign w:val="superscript"/>
    </w:rPr>
  </w:style>
  <w:style w:styleId="Style_19_ch" w:type="character">
    <w:name w:val="Знак концевой сноски1"/>
    <w:link w:val="Style_19"/>
    <w:rPr>
      <w:vertAlign w:val="superscript"/>
    </w:rPr>
  </w:style>
  <w:style w:styleId="Style_20" w:type="paragraph">
    <w:name w:val="heading 5"/>
    <w:next w:val="Style_5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5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Гиперссылка2"/>
    <w:link w:val="Style_22_ch"/>
    <w:rPr>
      <w:color w:val="0000FF"/>
      <w:u w:val="single"/>
    </w:rPr>
  </w:style>
  <w:style w:styleId="Style_22_ch" w:type="character">
    <w:name w:val="Гиперссылка2"/>
    <w:link w:val="Style_22"/>
    <w:rPr>
      <w:color w:val="0000FF"/>
      <w:u w:val="single"/>
    </w:rPr>
  </w:style>
  <w:style w:styleId="Style_23" w:type="paragraph">
    <w:name w:val="Гиперссылка1"/>
    <w:link w:val="Style_23_ch"/>
    <w:rPr>
      <w:color w:val="0000FF"/>
      <w:u w:val="single"/>
    </w:rPr>
  </w:style>
  <w:style w:styleId="Style_23_ch" w:type="character">
    <w:name w:val="Гиперссылка1"/>
    <w:link w:val="Style_23"/>
    <w:rPr>
      <w:color w:val="0000FF"/>
      <w:u w:val="single"/>
    </w:rPr>
  </w:style>
  <w:style w:styleId="Style_24" w:type="paragraph">
    <w:name w:val="Endnote"/>
    <w:basedOn w:val="Style_5"/>
    <w:link w:val="Style_24_ch"/>
    <w:rPr>
      <w:sz w:val="20"/>
    </w:rPr>
  </w:style>
  <w:style w:styleId="Style_24_ch" w:type="character">
    <w:name w:val="Endnote"/>
    <w:basedOn w:val="Style_5_ch"/>
    <w:link w:val="Style_24"/>
    <w:rPr>
      <w:sz w:val="20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basedOn w:val="Style_5"/>
    <w:link w:val="Style_26_ch"/>
    <w:rPr>
      <w:sz w:val="20"/>
    </w:rPr>
  </w:style>
  <w:style w:styleId="Style_26_ch" w:type="character">
    <w:name w:val="Footnote"/>
    <w:basedOn w:val="Style_5_ch"/>
    <w:link w:val="Style_26"/>
    <w:rPr>
      <w:sz w:val="20"/>
    </w:rPr>
  </w:style>
  <w:style w:styleId="Style_27" w:type="paragraph">
    <w:name w:val="toc 1"/>
    <w:next w:val="Style_5"/>
    <w:link w:val="Style_27_ch"/>
    <w:uiPriority w:val="39"/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ind/>
      <w:jc w:val="both"/>
    </w:pPr>
    <w:rPr>
      <w:rFonts w:ascii="XO Thames" w:hAnsi="XO Thames"/>
    </w:rPr>
  </w:style>
  <w:style w:styleId="Style_28_ch" w:type="character">
    <w:name w:val="Header and Footer"/>
    <w:link w:val="Style_28"/>
    <w:rPr>
      <w:rFonts w:ascii="XO Thames" w:hAnsi="XO Thames"/>
    </w:rPr>
  </w:style>
  <w:style w:styleId="Style_2" w:type="paragraph">
    <w:name w:val="ConsTitle"/>
    <w:link w:val="Style_2_ch"/>
    <w:pPr>
      <w:widowControl w:val="0"/>
      <w:ind/>
    </w:pPr>
    <w:rPr>
      <w:rFonts w:ascii="Arial" w:hAnsi="Arial"/>
      <w:b w:val="1"/>
      <w:sz w:val="16"/>
    </w:rPr>
  </w:style>
  <w:style w:styleId="Style_2_ch" w:type="character">
    <w:name w:val="ConsTitle"/>
    <w:link w:val="Style_2"/>
    <w:rPr>
      <w:rFonts w:ascii="Arial" w:hAnsi="Arial"/>
      <w:b w:val="1"/>
      <w:sz w:val="16"/>
    </w:rPr>
  </w:style>
  <w:style w:styleId="Style_29" w:type="paragraph">
    <w:name w:val="toc 9"/>
    <w:next w:val="Style_5"/>
    <w:link w:val="Style_29_ch"/>
    <w:uiPriority w:val="39"/>
    <w:pPr>
      <w:ind w:firstLine="0" w:left="1600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5"/>
    <w:link w:val="Style_30_ch"/>
    <w:uiPriority w:val="39"/>
    <w:pPr>
      <w:ind w:firstLine="0" w:left="1400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Обычный1"/>
    <w:link w:val="Style_31_ch"/>
    <w:rPr>
      <w:sz w:val="24"/>
    </w:rPr>
  </w:style>
  <w:style w:styleId="Style_31_ch" w:type="character">
    <w:name w:val="Обычный1"/>
    <w:link w:val="Style_31"/>
    <w:rPr>
      <w:sz w:val="24"/>
    </w:rPr>
  </w:style>
  <w:style w:styleId="Style_4" w:type="paragraph">
    <w:name w:val="Body Text Indent"/>
    <w:basedOn w:val="Style_5"/>
    <w:link w:val="Style_4_ch"/>
    <w:pPr>
      <w:spacing w:after="120"/>
      <w:ind w:firstLine="0" w:left="283"/>
    </w:pPr>
  </w:style>
  <w:style w:styleId="Style_4_ch" w:type="character">
    <w:name w:val="Body Text Indent"/>
    <w:basedOn w:val="Style_5_ch"/>
    <w:link w:val="Style_4"/>
  </w:style>
  <w:style w:styleId="Style_32" w:type="paragraph">
    <w:name w:val="toc 5"/>
    <w:next w:val="Style_5"/>
    <w:link w:val="Style_32_ch"/>
    <w:uiPriority w:val="39"/>
    <w:pPr>
      <w:ind w:firstLine="0" w:left="800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Гиперссылка1"/>
    <w:link w:val="Style_33_ch"/>
    <w:rPr>
      <w:color w:val="0000FF"/>
      <w:u w:val="single"/>
    </w:rPr>
  </w:style>
  <w:style w:styleId="Style_33_ch" w:type="character">
    <w:name w:val="Гиперссылка1"/>
    <w:link w:val="Style_33"/>
    <w:rPr>
      <w:color w:val="0000FF"/>
      <w:u w:val="single"/>
    </w:rPr>
  </w:style>
  <w:style w:styleId="Style_34" w:type="paragraph">
    <w:name w:val="Обычный1"/>
    <w:link w:val="Style_34_ch"/>
    <w:rPr>
      <w:sz w:val="24"/>
    </w:rPr>
  </w:style>
  <w:style w:styleId="Style_34_ch" w:type="character">
    <w:name w:val="Обычный1"/>
    <w:link w:val="Style_34"/>
    <w:rPr>
      <w:sz w:val="24"/>
    </w:rPr>
  </w:style>
  <w:style w:styleId="Style_35" w:type="paragraph">
    <w:name w:val="Subtitle"/>
    <w:next w:val="Style_5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toc 10"/>
    <w:next w:val="Style_5"/>
    <w:link w:val="Style_36_ch"/>
    <w:pPr>
      <w:ind w:firstLine="0" w:left="1800"/>
    </w:pPr>
    <w:rPr>
      <w:rFonts w:ascii="XO Thames" w:hAnsi="XO Thames"/>
      <w:sz w:val="28"/>
    </w:rPr>
  </w:style>
  <w:style w:styleId="Style_36_ch" w:type="character">
    <w:name w:val="toc 10"/>
    <w:link w:val="Style_36"/>
    <w:rPr>
      <w:rFonts w:ascii="XO Thames" w:hAnsi="XO Thames"/>
      <w:sz w:val="28"/>
    </w:rPr>
  </w:style>
  <w:style w:styleId="Style_37" w:type="paragraph">
    <w:name w:val="Title"/>
    <w:next w:val="Style_5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5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heading 2"/>
    <w:next w:val="Style_5"/>
    <w:link w:val="Style_3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styleId="Style_40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2025-12-23T09:35:59Z</dcterms:modified>
</cp:coreProperties>
</file>