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19"/>
        <w:jc w:val="right"/>
        <w:rPr>
          <w:sz w:val="20"/>
        </w:rPr>
      </w:pPr>
      <w:r>
        <w:rPr>
          <w:sz w:val="20"/>
        </w:rPr>
        <w:t>Приложение №</w:t>
      </w:r>
      <w:r>
        <w:rPr>
          <w:sz w:val="20"/>
        </w:rPr>
        <w:t xml:space="preserve"> 9</w:t>
      </w:r>
      <w:r>
        <w:rPr>
          <w:sz w:val="20"/>
        </w:rPr>
        <w:t xml:space="preserve"> </w:t>
      </w:r>
      <w:r>
        <w:rPr>
          <w:sz w:val="20"/>
        </w:rPr>
        <w:br/>
      </w:r>
      <w:r>
        <w:rPr>
          <w:sz w:val="20"/>
        </w:rPr>
        <w:t>к протоколу заседания Правления</w:t>
      </w:r>
      <w:r>
        <w:rPr>
          <w:sz w:val="20"/>
        </w:rPr>
        <w:br/>
      </w:r>
      <w:r>
        <w:rPr>
          <w:sz w:val="20"/>
        </w:rPr>
        <w:t>Региональной службы по тарифам</w:t>
      </w:r>
      <w:r>
        <w:rPr>
          <w:sz w:val="20"/>
        </w:rPr>
        <w:br/>
      </w:r>
      <w:r>
        <w:rPr>
          <w:sz w:val="20"/>
        </w:rPr>
        <w:t>Ростовской области</w:t>
      </w:r>
      <w:r>
        <w:rPr>
          <w:sz w:val="20"/>
        </w:rPr>
        <w:br/>
      </w:r>
      <w:r>
        <w:rPr>
          <w:sz w:val="20"/>
        </w:rPr>
        <w:t xml:space="preserve">от </w:t>
      </w:r>
      <w:r>
        <w:rPr>
          <w:sz w:val="20"/>
        </w:rPr>
        <w:t>18.11</w:t>
      </w:r>
      <w:r>
        <w:rPr>
          <w:sz w:val="20"/>
        </w:rPr>
        <w:t>.</w:t>
      </w:r>
      <w:r>
        <w:rPr>
          <w:sz w:val="20"/>
        </w:rPr>
        <w:t>2025</w:t>
      </w:r>
      <w:r>
        <w:rPr>
          <w:sz w:val="20"/>
        </w:rPr>
        <w:t xml:space="preserve"> № </w:t>
      </w:r>
      <w:r>
        <w:rPr>
          <w:sz w:val="20"/>
        </w:rPr>
        <w:t>51</w:t>
      </w:r>
    </w:p>
    <w:p w14:paraId="02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ind/>
        <w:jc w:val="center"/>
        <w:rPr>
          <w:b w:val="1"/>
          <w:sz w:val="20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РЕГИОНАЛЬНАЯ СЛУЖБА ПО ТАРИФАМ</w:t>
      </w:r>
    </w:p>
    <w:p w14:paraId="05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РОСТОВСКОЙ ОБЛАСТИ</w:t>
      </w:r>
    </w:p>
    <w:p w14:paraId="06000000">
      <w:pPr>
        <w:ind/>
        <w:jc w:val="center"/>
        <w:rPr>
          <w:b w:val="1"/>
          <w:sz w:val="16"/>
        </w:rPr>
      </w:pPr>
    </w:p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ПОСТАНОВЛЕНИЕ</w:t>
      </w:r>
    </w:p>
    <w:p w14:paraId="08000000">
      <w:pPr>
        <w:ind/>
        <w:jc w:val="center"/>
        <w:rPr>
          <w:sz w:val="16"/>
        </w:rPr>
      </w:pPr>
    </w:p>
    <w:p w14:paraId="09000000">
      <w:pPr>
        <w:ind w:firstLine="540" w:left="0" w:right="665"/>
        <w:jc w:val="center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>18.11</w:t>
      </w:r>
      <w:r>
        <w:rPr>
          <w:sz w:val="28"/>
        </w:rPr>
        <w:t>.202</w:t>
      </w:r>
      <w:r>
        <w:rPr>
          <w:sz w:val="28"/>
        </w:rPr>
        <w:t>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</w:t>
      </w:r>
      <w:r>
        <w:rPr>
          <w:sz w:val="28"/>
        </w:rPr>
        <w:t xml:space="preserve">№ </w:t>
      </w:r>
      <w:r>
        <w:rPr>
          <w:sz w:val="28"/>
        </w:rPr>
        <w:t>184</w:t>
      </w:r>
      <w:bookmarkStart w:id="1" w:name="_GoBack"/>
      <w:bookmarkEnd w:id="1"/>
    </w:p>
    <w:p w14:paraId="0A000000">
      <w:pPr>
        <w:ind w:firstLine="540" w:left="0" w:right="665"/>
        <w:jc w:val="center"/>
        <w:rPr>
          <w:sz w:val="20"/>
        </w:rPr>
      </w:pPr>
    </w:p>
    <w:p w14:paraId="0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Об установлении платы за подключение </w:t>
      </w:r>
    </w:p>
    <w:p w14:paraId="0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(технологическое присоединение) объекта капитального строительства </w:t>
      </w:r>
    </w:p>
    <w:p w14:paraId="0D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«</w:t>
      </w:r>
      <w:r>
        <w:rPr>
          <w:b w:val="1"/>
          <w:sz w:val="28"/>
        </w:rPr>
        <w:t xml:space="preserve">Строительство маслоэкстракционного завода производительностью </w:t>
      </w:r>
      <w:r>
        <w:rPr>
          <w:b w:val="1"/>
          <w:sz w:val="28"/>
        </w:rPr>
        <w:br/>
      </w:r>
      <w:r>
        <w:rPr>
          <w:b w:val="1"/>
          <w:sz w:val="28"/>
        </w:rPr>
        <w:t>1500т масличных семян в сутки</w:t>
      </w:r>
      <w:r>
        <w:rPr>
          <w:b w:val="1"/>
          <w:sz w:val="28"/>
        </w:rPr>
        <w:t>»</w:t>
      </w:r>
      <w:r>
        <w:rPr>
          <w:b w:val="1"/>
          <w:sz w:val="28"/>
        </w:rPr>
        <w:t>, расположенн</w:t>
      </w:r>
      <w:r>
        <w:rPr>
          <w:b w:val="1"/>
          <w:sz w:val="28"/>
        </w:rPr>
        <w:t>ого</w:t>
      </w:r>
      <w:r>
        <w:rPr>
          <w:b w:val="1"/>
          <w:sz w:val="28"/>
        </w:rPr>
        <w:t xml:space="preserve"> по адресу: </w:t>
      </w:r>
    </w:p>
    <w:p w14:paraId="0E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Ростовская область, г. </w:t>
      </w:r>
      <w:r>
        <w:rPr>
          <w:b w:val="1"/>
          <w:sz w:val="28"/>
        </w:rPr>
        <w:t>Зверево</w:t>
      </w:r>
      <w:r>
        <w:rPr>
          <w:b w:val="1"/>
          <w:sz w:val="28"/>
        </w:rPr>
        <w:t xml:space="preserve">, </w:t>
      </w:r>
      <w:r>
        <w:rPr>
          <w:b w:val="1"/>
          <w:sz w:val="28"/>
        </w:rPr>
        <w:t>ул. Макаренко, д. 4</w:t>
      </w:r>
      <w:r>
        <w:rPr>
          <w:b w:val="1"/>
          <w:sz w:val="28"/>
        </w:rPr>
        <w:t>,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к централизованн</w:t>
      </w:r>
      <w:r>
        <w:rPr>
          <w:b w:val="1"/>
          <w:sz w:val="28"/>
        </w:rPr>
        <w:t>ой</w:t>
      </w:r>
      <w:r>
        <w:rPr>
          <w:b w:val="1"/>
          <w:sz w:val="28"/>
        </w:rPr>
        <w:t xml:space="preserve"> систем</w:t>
      </w:r>
      <w:r>
        <w:rPr>
          <w:b w:val="1"/>
          <w:sz w:val="28"/>
        </w:rPr>
        <w:t>е</w:t>
      </w:r>
      <w:r>
        <w:rPr>
          <w:b w:val="1"/>
          <w:sz w:val="28"/>
        </w:rPr>
        <w:t xml:space="preserve"> холодного водоснабжения </w:t>
      </w:r>
      <w:r>
        <w:rPr>
          <w:b w:val="1"/>
          <w:sz w:val="28"/>
        </w:rPr>
        <w:t>ГУП РО «УРСВ»</w:t>
      </w:r>
      <w:r>
        <w:rPr>
          <w:b w:val="1"/>
          <w:sz w:val="28"/>
        </w:rPr>
        <w:t xml:space="preserve"> (ИНН </w:t>
      </w:r>
      <w:r>
        <w:rPr>
          <w:b w:val="1"/>
          <w:sz w:val="28"/>
        </w:rPr>
        <w:t>6167110467</w:t>
      </w:r>
      <w:r>
        <w:rPr>
          <w:b w:val="1"/>
          <w:sz w:val="28"/>
        </w:rPr>
        <w:t xml:space="preserve">) </w:t>
      </w:r>
      <w:r>
        <w:rPr>
          <w:b w:val="1"/>
          <w:sz w:val="28"/>
        </w:rPr>
        <w:br/>
      </w:r>
      <w:r>
        <w:rPr>
          <w:b w:val="1"/>
          <w:sz w:val="28"/>
        </w:rPr>
        <w:t>в индивидуальном порядке</w:t>
      </w:r>
    </w:p>
    <w:p w14:paraId="0F000000">
      <w:pPr>
        <w:rPr>
          <w:b w:val="1"/>
          <w:sz w:val="16"/>
        </w:rPr>
      </w:pPr>
    </w:p>
    <w:p w14:paraId="10000000">
      <w:pPr>
        <w:ind w:firstLine="567" w:left="0"/>
        <w:jc w:val="both"/>
        <w:rPr>
          <w:b w:val="1"/>
          <w:sz w:val="16"/>
        </w:rPr>
      </w:pPr>
      <w:r>
        <w:rPr>
          <w:sz w:val="28"/>
        </w:rPr>
        <w:t xml:space="preserve">В соответствии с Федеральным законом от 07.12.2011 № 416-ФЗ </w:t>
      </w:r>
      <w:r>
        <w:rPr>
          <w:sz w:val="28"/>
        </w:rPr>
        <w:br/>
      </w:r>
      <w:r>
        <w:rPr>
          <w:sz w:val="28"/>
        </w:rPr>
        <w:t xml:space="preserve">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Методическими указаниями по расчету регулируемых тарифов в сфере водоснабжения и водоотведения, утвержденными приказом Федеральной службы по тарифам от 27.12.2013 </w:t>
      </w:r>
      <w:r>
        <w:rPr>
          <w:sz w:val="28"/>
        </w:rPr>
        <w:br/>
      </w:r>
      <w:r>
        <w:rPr>
          <w:sz w:val="28"/>
        </w:rPr>
        <w:t>№ 1746-э,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14:paraId="11000000">
      <w:pPr>
        <w:ind w:firstLine="567" w:left="0"/>
        <w:jc w:val="center"/>
        <w:rPr>
          <w:b w:val="1"/>
          <w:sz w:val="20"/>
        </w:rPr>
      </w:pPr>
    </w:p>
    <w:p w14:paraId="12000000">
      <w:pPr>
        <w:ind w:firstLine="567" w:left="0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3000000">
      <w:pPr>
        <w:ind w:firstLine="567" w:left="0"/>
        <w:jc w:val="center"/>
        <w:rPr>
          <w:b w:val="1"/>
          <w:sz w:val="16"/>
        </w:rPr>
      </w:pPr>
    </w:p>
    <w:p w14:paraId="14000000">
      <w:pPr>
        <w:ind w:firstLine="709" w:left="0"/>
        <w:jc w:val="both"/>
        <w:rPr>
          <w:sz w:val="28"/>
        </w:rPr>
      </w:pPr>
      <w:r>
        <w:rPr>
          <w:sz w:val="28"/>
        </w:rPr>
        <w:t>1. Установить плату за подключение (технологическое присоединение)</w:t>
      </w:r>
      <w:r>
        <w:rPr>
          <w:sz w:val="28"/>
        </w:rPr>
        <w:t xml:space="preserve"> </w:t>
      </w:r>
      <w:r>
        <w:rPr>
          <w:sz w:val="28"/>
        </w:rPr>
        <w:t>объекта капитального строительства «Строительство маслоэкстракционного завода</w:t>
      </w:r>
      <w:r>
        <w:rPr>
          <w:sz w:val="28"/>
        </w:rPr>
        <w:t xml:space="preserve"> </w:t>
      </w:r>
      <w:r>
        <w:rPr>
          <w:sz w:val="28"/>
        </w:rPr>
        <w:t>производительностью</w:t>
      </w:r>
      <w:r>
        <w:rPr>
          <w:sz w:val="28"/>
        </w:rPr>
        <w:t xml:space="preserve"> </w:t>
      </w:r>
      <w:r>
        <w:rPr>
          <w:sz w:val="28"/>
        </w:rPr>
        <w:t>1500т масличных семян в сутки», расположенного по адресу: Ростовская область, г. Зверево, ул. Макаренко, д. 4, к централизованной системе холодного водоснабжения ГУП РО «УРСВ» (ИНН 6167110467) в индивидуальном порядке</w:t>
      </w:r>
      <w:r>
        <w:rPr>
          <w:sz w:val="28"/>
        </w:rPr>
        <w:t xml:space="preserve"> с подключаемой нагрузкой </w:t>
      </w:r>
      <w:r>
        <w:rPr>
          <w:sz w:val="28"/>
        </w:rPr>
        <w:t>200,0</w:t>
      </w:r>
      <w:r>
        <w:rPr>
          <w:sz w:val="28"/>
        </w:rPr>
        <w:t xml:space="preserve"> куб. м./</w:t>
      </w:r>
      <w:r>
        <w:rPr>
          <w:sz w:val="28"/>
        </w:rPr>
        <w:t>сут</w:t>
      </w:r>
      <w:r>
        <w:rPr>
          <w:sz w:val="28"/>
        </w:rPr>
        <w:t xml:space="preserve">. </w:t>
      </w:r>
      <w:r>
        <w:rPr>
          <w:sz w:val="28"/>
        </w:rPr>
        <w:t xml:space="preserve">в размере </w:t>
      </w:r>
      <w:r>
        <w:rPr>
          <w:sz w:val="28"/>
        </w:rPr>
        <w:t>78316893,76</w:t>
      </w:r>
      <w:r>
        <w:rPr>
          <w:sz w:val="28"/>
        </w:rPr>
        <w:t xml:space="preserve"> </w:t>
      </w:r>
      <w:r>
        <w:rPr>
          <w:sz w:val="28"/>
        </w:rPr>
        <w:t>руб. (без учета НДС, с учетом налога на прибыль)</w:t>
      </w:r>
      <w:r>
        <w:rPr>
          <w:sz w:val="28"/>
        </w:rPr>
        <w:t xml:space="preserve"> согласно приложению</w:t>
      </w:r>
      <w:r>
        <w:rPr>
          <w:sz w:val="28"/>
        </w:rPr>
        <w:t xml:space="preserve"> к постановлению</w:t>
      </w:r>
      <w:r>
        <w:rPr>
          <w:sz w:val="28"/>
        </w:rPr>
        <w:t>.</w:t>
      </w:r>
    </w:p>
    <w:p w14:paraId="15000000">
      <w:pPr>
        <w:tabs>
          <w:tab w:leader="none" w:pos="0" w:val="left"/>
          <w:tab w:leader="none" w:pos="567" w:val="left"/>
        </w:tabs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 xml:space="preserve">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</w:t>
      </w:r>
      <w:r>
        <w:rPr>
          <w:sz w:val="28"/>
        </w:rPr>
        <w:t>http://rst.donland.ru</w:t>
      </w:r>
      <w:r>
        <w:rPr>
          <w:sz w:val="28"/>
        </w:rPr>
        <w:t xml:space="preserve"> и вступает в силу со дня его официального опубликования.</w:t>
      </w:r>
    </w:p>
    <w:tbl>
      <w:tblPr>
        <w:tblStyle w:val="Style_1"/>
        <w:tblLayout w:type="fixed"/>
      </w:tblPr>
      <w:tblGrid>
        <w:gridCol w:w="4822"/>
        <w:gridCol w:w="4822"/>
      </w:tblGrid>
      <w:tr>
        <w:tc>
          <w:tcPr>
            <w:tcW w:type="dxa" w:w="4822"/>
            <w:shd w:fill="auto" w:val="clear"/>
          </w:tcPr>
          <w:p w14:paraId="16000000">
            <w:pPr>
              <w:ind/>
              <w:jc w:val="both"/>
              <w:rPr>
                <w:b w:val="1"/>
                <w:sz w:val="22"/>
              </w:rPr>
            </w:pPr>
          </w:p>
          <w:p w14:paraId="17000000">
            <w:pPr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Руководитель </w:t>
            </w:r>
          </w:p>
          <w:p w14:paraId="18000000">
            <w:pPr>
              <w:ind/>
              <w:jc w:val="both"/>
              <w:rPr>
                <w:sz w:val="28"/>
              </w:rPr>
            </w:pPr>
            <w:r>
              <w:rPr>
                <w:b w:val="1"/>
                <w:sz w:val="28"/>
              </w:rPr>
              <w:t>Региональной службы по тарифам</w:t>
            </w:r>
            <w:r>
              <w:rPr>
                <w:b w:val="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Ростовской области</w:t>
            </w:r>
          </w:p>
        </w:tc>
        <w:tc>
          <w:tcPr>
            <w:tcW w:type="dxa" w:w="4822"/>
            <w:shd w:fill="auto" w:val="clear"/>
            <w:vAlign w:val="bottom"/>
          </w:tcPr>
          <w:p w14:paraId="19000000">
            <w:pPr>
              <w:tabs>
                <w:tab w:leader="none" w:pos="0" w:val="left"/>
                <w:tab w:leader="none" w:pos="567" w:val="left"/>
              </w:tabs>
              <w:ind/>
              <w:jc w:val="right"/>
              <w:rPr>
                <w:sz w:val="28"/>
              </w:rPr>
            </w:pPr>
            <w:r>
              <w:rPr>
                <w:b w:val="1"/>
                <w:sz w:val="28"/>
              </w:rPr>
              <w:t>А.В. Лукьянов</w:t>
            </w:r>
          </w:p>
        </w:tc>
      </w:tr>
    </w:tbl>
    <w:p w14:paraId="1A000000">
      <w:pPr>
        <w:ind/>
        <w:jc w:val="both"/>
        <w:rPr>
          <w:b w:val="1"/>
          <w:sz w:val="28"/>
        </w:rPr>
      </w:pPr>
    </w:p>
    <w:sectPr>
      <w:pgSz w:h="16838" w:orient="portrait" w:w="11906"/>
      <w:pgMar w:bottom="284" w:footer="709" w:gutter="0" w:header="709" w:left="1134" w:right="1127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footer"/>
    <w:basedOn w:val="Style_2"/>
    <w:link w:val="Style_4_ch"/>
    <w:pPr>
      <w:tabs>
        <w:tab w:leader="none" w:pos="4677" w:val="center"/>
        <w:tab w:leader="none" w:pos="9355" w:val="right"/>
      </w:tabs>
      <w:ind/>
    </w:pPr>
  </w:style>
  <w:style w:styleId="Style_4_ch" w:type="character">
    <w:name w:val="footer"/>
    <w:basedOn w:val="Style_2_ch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Гиперссылка1"/>
    <w:link w:val="Style_6_ch"/>
    <w:rPr>
      <w:color w:val="0000FF"/>
      <w:u w:val="single"/>
    </w:rPr>
  </w:style>
  <w:style w:styleId="Style_6_ch" w:type="character">
    <w:name w:val="Гиперссылка1"/>
    <w:link w:val="Style_6"/>
    <w:rPr>
      <w:color w:val="0000FF"/>
      <w:u w:val="single"/>
    </w:rPr>
  </w:style>
  <w:style w:styleId="Style_7" w:type="paragraph">
    <w:name w:val="toc 6"/>
    <w:next w:val="Style_2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ConsPlusNormal"/>
    <w:link w:val="Style_9_ch"/>
    <w:pPr>
      <w:widowControl w:val="0"/>
      <w:ind w:firstLine="720" w:left="0"/>
    </w:pPr>
    <w:rPr>
      <w:rFonts w:ascii="Arial" w:hAnsi="Arial"/>
    </w:rPr>
  </w:style>
  <w:style w:styleId="Style_9_ch" w:type="character">
    <w:name w:val="ConsPlusNormal"/>
    <w:link w:val="Style_9"/>
    <w:rPr>
      <w:rFonts w:ascii="Arial" w:hAnsi="Arial"/>
    </w:rPr>
  </w:style>
  <w:style w:styleId="Style_10" w:type="paragraph">
    <w:name w:val="Знак сноски1"/>
    <w:link w:val="Style_10_ch"/>
    <w:rPr>
      <w:vertAlign w:val="superscript"/>
    </w:rPr>
  </w:style>
  <w:style w:styleId="Style_10_ch" w:type="character">
    <w:name w:val="Знак сноски1"/>
    <w:link w:val="Style_10"/>
    <w:rPr>
      <w:vertAlign w:val="superscript"/>
    </w:rPr>
  </w:style>
  <w:style w:styleId="Style_11" w:type="paragraph">
    <w:name w:val="heading 3"/>
    <w:next w:val="Style_2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alloon Text"/>
    <w:basedOn w:val="Style_2"/>
    <w:link w:val="Style_12_ch"/>
    <w:rPr>
      <w:rFonts w:ascii="Tahoma" w:hAnsi="Tahoma"/>
      <w:sz w:val="16"/>
    </w:rPr>
  </w:style>
  <w:style w:styleId="Style_12_ch" w:type="character">
    <w:name w:val="Balloon Text"/>
    <w:basedOn w:val="Style_2_ch"/>
    <w:link w:val="Style_12"/>
    <w:rPr>
      <w:rFonts w:ascii="Tahoma" w:hAnsi="Tahoma"/>
      <w:sz w:val="16"/>
    </w:rPr>
  </w:style>
  <w:style w:styleId="Style_13" w:type="paragraph">
    <w:name w:val="ConsPlusTitle"/>
    <w:link w:val="Style_13_ch"/>
    <w:rPr>
      <w:b w:val="1"/>
      <w:sz w:val="24"/>
    </w:rPr>
  </w:style>
  <w:style w:styleId="Style_13_ch" w:type="character">
    <w:name w:val="ConsPlusTitle"/>
    <w:link w:val="Style_13"/>
    <w:rPr>
      <w:b w:val="1"/>
      <w:sz w:val="24"/>
    </w:rPr>
  </w:style>
  <w:style w:styleId="Style_14" w:type="paragraph">
    <w:name w:val="toc 3"/>
    <w:next w:val="Style_2"/>
    <w:link w:val="Style_14_ch"/>
    <w:uiPriority w:val="39"/>
    <w:pPr>
      <w:ind w:firstLine="0"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toc 10"/>
    <w:next w:val="Style_2"/>
    <w:link w:val="Style_15_ch"/>
    <w:pPr>
      <w:ind w:firstLine="0" w:left="1800"/>
    </w:pPr>
    <w:rPr>
      <w:rFonts w:ascii="XO Thames" w:hAnsi="XO Thames"/>
      <w:sz w:val="28"/>
    </w:rPr>
  </w:style>
  <w:style w:styleId="Style_15_ch" w:type="character">
    <w:name w:val="toc 10"/>
    <w:link w:val="Style_15"/>
    <w:rPr>
      <w:rFonts w:ascii="XO Thames" w:hAnsi="XO Thames"/>
      <w:sz w:val="28"/>
    </w:rPr>
  </w:style>
  <w:style w:styleId="Style_16" w:type="paragraph">
    <w:name w:val="Знак1 Знак Знак Знак"/>
    <w:basedOn w:val="Style_2"/>
    <w:link w:val="Style_16_ch"/>
    <w:pPr>
      <w:spacing w:afterAutospacing="on" w:beforeAutospacing="on"/>
      <w:ind/>
    </w:pPr>
    <w:rPr>
      <w:rFonts w:ascii="Tahoma" w:hAnsi="Tahoma"/>
      <w:sz w:val="20"/>
    </w:rPr>
  </w:style>
  <w:style w:styleId="Style_16_ch" w:type="character">
    <w:name w:val="Знак1 Знак Знак Знак"/>
    <w:basedOn w:val="Style_2_ch"/>
    <w:link w:val="Style_16"/>
    <w:rPr>
      <w:rFonts w:ascii="Tahoma" w:hAnsi="Tahoma"/>
      <w:sz w:val="20"/>
    </w:rPr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2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basedOn w:val="Style_2"/>
    <w:link w:val="Style_20_ch"/>
    <w:rPr>
      <w:sz w:val="20"/>
    </w:rPr>
  </w:style>
  <w:style w:styleId="Style_20_ch" w:type="character">
    <w:name w:val="Footnote"/>
    <w:basedOn w:val="Style_2_ch"/>
    <w:link w:val="Style_20"/>
    <w:rPr>
      <w:sz w:val="20"/>
    </w:rPr>
  </w:style>
  <w:style w:styleId="Style_21" w:type="paragraph">
    <w:name w:val="toc 1"/>
    <w:next w:val="Style_2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ind/>
      <w:jc w:val="both"/>
    </w:pPr>
    <w:rPr>
      <w:rFonts w:ascii="XO Thames" w:hAnsi="XO Thames"/>
    </w:rPr>
  </w:style>
  <w:style w:styleId="Style_22_ch" w:type="character">
    <w:name w:val="Header and Footer"/>
    <w:link w:val="Style_22"/>
    <w:rPr>
      <w:rFonts w:ascii="XO Thames" w:hAnsi="XO Thames"/>
    </w:rPr>
  </w:style>
  <w:style w:styleId="Style_23" w:type="paragraph">
    <w:name w:val="toc 9"/>
    <w:next w:val="Style_2"/>
    <w:link w:val="Style_23_ch"/>
    <w:uiPriority w:val="39"/>
    <w:pPr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ind w:firstLine="0"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2"/>
    <w:link w:val="Style_25_ch"/>
    <w:uiPriority w:val="39"/>
    <w:pPr>
      <w:ind w:firstLine="0"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ConsTitle"/>
    <w:link w:val="Style_27_ch"/>
    <w:pPr>
      <w:widowControl w:val="0"/>
      <w:ind/>
    </w:pPr>
    <w:rPr>
      <w:rFonts w:ascii="Arial" w:hAnsi="Arial"/>
      <w:b w:val="1"/>
      <w:sz w:val="16"/>
    </w:rPr>
  </w:style>
  <w:style w:styleId="Style_27_ch" w:type="character">
    <w:name w:val="ConsTitle"/>
    <w:link w:val="Style_27"/>
    <w:rPr>
      <w:rFonts w:ascii="Arial" w:hAnsi="Arial"/>
      <w:b w:val="1"/>
      <w:sz w:val="16"/>
    </w:rPr>
  </w:style>
  <w:style w:styleId="Style_28" w:type="paragraph">
    <w:name w:val="Основной шрифт абзаца1"/>
    <w:link w:val="Style_28_ch"/>
  </w:style>
  <w:style w:styleId="Style_28_ch" w:type="character">
    <w:name w:val="Основной шрифт абзаца1"/>
    <w:link w:val="Style_28"/>
  </w:style>
  <w:style w:styleId="Style_29" w:type="paragraph">
    <w:name w:val="Subtitle"/>
    <w:next w:val="Style_2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2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2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Обычный1"/>
    <w:link w:val="Style_32_ch"/>
    <w:rPr>
      <w:sz w:val="24"/>
    </w:rPr>
  </w:style>
  <w:style w:styleId="Style_32_ch" w:type="character">
    <w:name w:val="Обычный1"/>
    <w:link w:val="Style_32"/>
    <w:rPr>
      <w:sz w:val="24"/>
    </w:rPr>
  </w:style>
  <w:style w:styleId="Style_33" w:type="paragraph">
    <w:name w:val="heading 2"/>
    <w:next w:val="Style_2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List Paragraph"/>
    <w:basedOn w:val="Style_2"/>
    <w:link w:val="Style_34_ch"/>
    <w:pPr>
      <w:ind w:firstLine="0" w:left="720"/>
      <w:contextualSpacing w:val="1"/>
    </w:pPr>
  </w:style>
  <w:style w:styleId="Style_34_ch" w:type="character">
    <w:name w:val="List Paragraph"/>
    <w:basedOn w:val="Style_2_ch"/>
    <w:link w:val="Style_34"/>
  </w:style>
  <w:style w:styleId="Style_35" w:type="paragraph">
    <w:name w:val="header"/>
    <w:basedOn w:val="Style_2"/>
    <w:link w:val="Style_35_ch"/>
    <w:pPr>
      <w:tabs>
        <w:tab w:leader="none" w:pos="4677" w:val="center"/>
        <w:tab w:leader="none" w:pos="9355" w:val="right"/>
      </w:tabs>
      <w:ind/>
    </w:pPr>
  </w:style>
  <w:style w:styleId="Style_35_ch" w:type="character">
    <w:name w:val="header"/>
    <w:basedOn w:val="Style_2_ch"/>
    <w:link w:val="Style_35"/>
  </w:style>
  <w:style w:styleId="Style_36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2025-11-24T13:31:02Z</dcterms:modified>
</cp:coreProperties>
</file>