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19"/>
        <w:jc w:val="right"/>
        <w:rPr>
          <w:sz w:val="20"/>
        </w:rPr>
      </w:pPr>
      <w:r>
        <w:rPr>
          <w:sz w:val="20"/>
        </w:rPr>
        <w:t xml:space="preserve">Приложение № </w:t>
      </w:r>
      <w:r>
        <w:rPr>
          <w:sz w:val="20"/>
        </w:rPr>
        <w:t>3</w:t>
      </w:r>
      <w:r>
        <w:rPr>
          <w:sz w:val="20"/>
        </w:rPr>
        <w:t xml:space="preserve"> </w:t>
      </w:r>
    </w:p>
    <w:p w14:paraId="02000000">
      <w:pPr>
        <w:ind w:right="19"/>
        <w:jc w:val="right"/>
        <w:rPr>
          <w:sz w:val="20"/>
        </w:rPr>
      </w:pPr>
      <w:r>
        <w:rPr>
          <w:sz w:val="20"/>
        </w:rPr>
        <w:t>к протоколу заседания Правления</w:t>
      </w:r>
    </w:p>
    <w:p w14:paraId="03000000">
      <w:pPr>
        <w:ind w:right="17"/>
        <w:jc w:val="right"/>
        <w:rPr>
          <w:sz w:val="20"/>
        </w:rPr>
      </w:pPr>
      <w:r>
        <w:rPr>
          <w:sz w:val="20"/>
        </w:rPr>
        <w:t>Региональной службы по тарифам</w:t>
      </w:r>
    </w:p>
    <w:p w14:paraId="04000000">
      <w:pPr>
        <w:ind w:right="19"/>
        <w:jc w:val="right"/>
        <w:rPr>
          <w:sz w:val="20"/>
        </w:rPr>
      </w:pPr>
      <w:r>
        <w:rPr>
          <w:sz w:val="20"/>
        </w:rPr>
        <w:t>Ростовской области</w:t>
      </w:r>
    </w:p>
    <w:p w14:paraId="05000000">
      <w:pPr>
        <w:ind w:firstLine="540" w:left="-900" w:right="-5"/>
        <w:jc w:val="right"/>
        <w:rPr>
          <w:sz w:val="20"/>
        </w:rPr>
      </w:pPr>
      <w:r>
        <w:rPr>
          <w:sz w:val="20"/>
        </w:rPr>
        <w:t xml:space="preserve">от </w:t>
      </w:r>
      <w:r>
        <w:rPr>
          <w:sz w:val="20"/>
        </w:rPr>
        <w:t>26</w:t>
      </w:r>
      <w:r>
        <w:rPr>
          <w:sz w:val="20"/>
        </w:rPr>
        <w:t>.</w:t>
      </w:r>
      <w:r>
        <w:rPr>
          <w:sz w:val="20"/>
        </w:rPr>
        <w:t>11</w:t>
      </w:r>
      <w:r>
        <w:rPr>
          <w:sz w:val="20"/>
        </w:rPr>
        <w:t>.202</w:t>
      </w:r>
      <w:r>
        <w:rPr>
          <w:sz w:val="20"/>
        </w:rPr>
        <w:t>4</w:t>
      </w:r>
      <w:r>
        <w:rPr>
          <w:sz w:val="20"/>
        </w:rPr>
        <w:t xml:space="preserve"> № </w:t>
      </w:r>
      <w:r>
        <w:rPr>
          <w:sz w:val="20"/>
        </w:rPr>
        <w:t>65</w:t>
      </w:r>
    </w:p>
    <w:p w14:paraId="06000000">
      <w:pPr>
        <w:ind w:firstLine="540" w:left="-900" w:right="-5"/>
        <w:jc w:val="center"/>
        <w:rPr>
          <w:b w:val="1"/>
          <w:sz w:val="20"/>
        </w:rPr>
      </w:pPr>
      <w:r>
        <w:rPr>
          <w:b w:val="1"/>
          <w:sz w:val="20"/>
        </w:rPr>
        <w:drawing>
          <wp:inline>
            <wp:extent cx="617220" cy="61722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617220" cy="61722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7000000">
      <w:pPr>
        <w:ind w:right="-465"/>
        <w:rPr>
          <w:sz w:val="20"/>
        </w:rPr>
      </w:pPr>
    </w:p>
    <w:p w14:paraId="08000000">
      <w:pPr>
        <w:ind w:firstLine="540" w:left="-900" w:right="-5"/>
        <w:jc w:val="center"/>
        <w:rPr>
          <w:b w:val="1"/>
          <w:sz w:val="32"/>
        </w:rPr>
      </w:pPr>
      <w:r>
        <w:rPr>
          <w:b w:val="1"/>
          <w:sz w:val="32"/>
        </w:rPr>
        <w:t>РЕГИОНАЛЬНАЯ СЛУЖБА ПО ТАРИФАМ</w:t>
      </w:r>
    </w:p>
    <w:p w14:paraId="09000000">
      <w:pPr>
        <w:ind w:firstLine="540" w:left="-900" w:right="-5"/>
        <w:jc w:val="center"/>
        <w:rPr>
          <w:b w:val="1"/>
          <w:sz w:val="32"/>
        </w:rPr>
      </w:pPr>
      <w:r>
        <w:rPr>
          <w:b w:val="1"/>
          <w:sz w:val="32"/>
        </w:rPr>
        <w:t>РОСТОВСКОЙ ОБЛАСТИ</w:t>
      </w:r>
    </w:p>
    <w:p w14:paraId="0A000000">
      <w:pPr>
        <w:ind w:firstLine="540" w:left="-900" w:right="-5"/>
        <w:jc w:val="center"/>
        <w:rPr>
          <w:b w:val="1"/>
        </w:rPr>
      </w:pPr>
    </w:p>
    <w:p w14:paraId="0B000000">
      <w:pPr>
        <w:ind w:firstLine="540" w:left="-900" w:right="-5"/>
        <w:jc w:val="center"/>
        <w:rPr>
          <w:b w:val="1"/>
          <w:sz w:val="32"/>
        </w:rPr>
      </w:pPr>
      <w:r>
        <w:rPr>
          <w:b w:val="1"/>
          <w:sz w:val="32"/>
        </w:rPr>
        <w:t>ПОСТАНОВЛЕНИЕ</w:t>
      </w:r>
    </w:p>
    <w:p w14:paraId="0C000000">
      <w:pPr>
        <w:ind w:firstLine="540" w:left="-900" w:right="-5"/>
        <w:jc w:val="center"/>
        <w:rPr>
          <w:sz w:val="16"/>
        </w:rPr>
      </w:pPr>
    </w:p>
    <w:p w14:paraId="0D000000">
      <w:pPr>
        <w:ind/>
        <w:jc w:val="center"/>
        <w:rPr>
          <w:sz w:val="28"/>
        </w:rPr>
      </w:pPr>
      <w:r>
        <w:rPr>
          <w:sz w:val="28"/>
        </w:rPr>
        <w:t>26</w:t>
      </w:r>
      <w:r>
        <w:rPr>
          <w:sz w:val="28"/>
        </w:rPr>
        <w:t>.</w:t>
      </w:r>
      <w:r>
        <w:rPr>
          <w:sz w:val="28"/>
        </w:rPr>
        <w:t>11</w:t>
      </w:r>
      <w:r>
        <w:rPr>
          <w:sz w:val="28"/>
        </w:rPr>
        <w:t>.202</w:t>
      </w:r>
      <w:r>
        <w:rPr>
          <w:sz w:val="28"/>
        </w:rPr>
        <w:t>4</w:t>
      </w:r>
      <w:r>
        <w:rPr>
          <w:sz w:val="28"/>
        </w:rPr>
        <w:t xml:space="preserve">             </w:t>
      </w:r>
      <w:r>
        <w:rPr>
          <w:sz w:val="28"/>
        </w:rPr>
        <w:tab/>
      </w:r>
      <w:r>
        <w:rPr>
          <w:sz w:val="28"/>
        </w:rPr>
        <w:t xml:space="preserve">        г. Ростов-на-Дону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            </w:t>
      </w:r>
      <w:r>
        <w:rPr>
          <w:sz w:val="28"/>
        </w:rPr>
        <w:tab/>
      </w:r>
      <w:r>
        <w:rPr>
          <w:sz w:val="28"/>
        </w:rPr>
        <w:t xml:space="preserve">№ </w:t>
      </w:r>
      <w:r>
        <w:rPr>
          <w:sz w:val="28"/>
        </w:rPr>
        <w:t>554</w:t>
      </w:r>
    </w:p>
    <w:p w14:paraId="0E000000">
      <w:pPr>
        <w:ind/>
        <w:jc w:val="center"/>
      </w:pPr>
    </w:p>
    <w:p w14:paraId="0F000000">
      <w:pPr>
        <w:ind w:firstLine="720" w:left="0"/>
        <w:jc w:val="center"/>
        <w:rPr>
          <w:b w:val="1"/>
          <w:sz w:val="28"/>
        </w:rPr>
      </w:pPr>
      <w:r>
        <w:rPr>
          <w:b w:val="1"/>
          <w:sz w:val="28"/>
        </w:rPr>
        <w:t xml:space="preserve">Об установлении сбытовой надбавки гарантирующего поставщика электрической энергии ПАО «ТНС </w:t>
      </w:r>
      <w:r>
        <w:rPr>
          <w:b w:val="1"/>
          <w:sz w:val="28"/>
        </w:rPr>
        <w:t>энерго</w:t>
      </w:r>
      <w:r>
        <w:rPr>
          <w:b w:val="1"/>
          <w:sz w:val="28"/>
        </w:rPr>
        <w:t xml:space="preserve"> Ростов-на-Дону»</w:t>
      </w:r>
      <w:r>
        <w:rPr>
          <w:b w:val="1"/>
          <w:sz w:val="28"/>
        </w:rPr>
        <w:t xml:space="preserve"> на 202</w:t>
      </w:r>
      <w:r>
        <w:rPr>
          <w:b w:val="1"/>
          <w:sz w:val="28"/>
        </w:rPr>
        <w:t>5</w:t>
      </w:r>
      <w:r>
        <w:rPr>
          <w:b w:val="1"/>
          <w:sz w:val="28"/>
        </w:rPr>
        <w:t xml:space="preserve"> год</w:t>
      </w:r>
    </w:p>
    <w:p w14:paraId="10000000">
      <w:pPr>
        <w:ind w:firstLine="720" w:left="0"/>
        <w:jc w:val="center"/>
        <w:rPr>
          <w:b w:val="1"/>
        </w:rPr>
      </w:pPr>
    </w:p>
    <w:p w14:paraId="11000000">
      <w:pPr>
        <w:ind w:firstLine="540" w:left="0"/>
        <w:jc w:val="both"/>
        <w:rPr>
          <w:sz w:val="28"/>
        </w:rPr>
      </w:pPr>
      <w:r>
        <w:rPr>
          <w:sz w:val="28"/>
        </w:rPr>
        <w:t xml:space="preserve">В соответствии с Федеральным законом от 26.03.2003 № 35-ФЗ                              «Об электроэнергетике», постановлением Правительства Российской Федерации от 29.12.2011 № 1178 «О ценообразовании в области регулируемых цен (тарифов) в электроэнергетике», приказом Федеральной антимонопольной службы от 21.11.2017 № 1554/17 «Об утверждении Методических указаний по расчету сбытовых надбавок гарантирующих поставщиков с использованием метода сравнения аналогов»,  </w:t>
      </w:r>
      <w:r>
        <w:rPr>
          <w:sz w:val="28"/>
        </w:rPr>
        <w:t>Регламентом установления цен (тарифов) в электроэнергетике и (или) их предельных уровней, утвержденным приказом Федеральной антимонопольной службы от 22.07.2024 № 489/24</w:t>
      </w:r>
      <w:r>
        <w:rPr>
          <w:sz w:val="28"/>
        </w:rPr>
        <w:t xml:space="preserve">, на основании </w:t>
      </w:r>
      <w:r>
        <w:rPr>
          <w:sz w:val="28"/>
        </w:rPr>
        <w:fldChar w:fldCharType="begin"/>
      </w:r>
      <w:r>
        <w:rPr>
          <w:sz w:val="28"/>
        </w:rPr>
        <w:instrText>HYPERLINK "consultantplus://offline/ref=2206A0618787245B1DDA0962B2356EE8AA6A812CB8D0B42F495A058B7E69D77CF93FE01D6BDCFC8DFDD4F3B334N"</w:instrText>
      </w:r>
      <w:r>
        <w:rPr>
          <w:sz w:val="28"/>
        </w:rPr>
        <w:fldChar w:fldCharType="separate"/>
      </w:r>
      <w:r>
        <w:rPr>
          <w:sz w:val="28"/>
        </w:rPr>
        <w:t>Положения</w:t>
      </w:r>
      <w:r>
        <w:rPr>
          <w:sz w:val="28"/>
        </w:rPr>
        <w:fldChar w:fldCharType="end"/>
      </w:r>
      <w:r>
        <w:rPr>
          <w:sz w:val="28"/>
        </w:rPr>
        <w:t xml:space="preserve"> о Региональной службе по тарифам Ростовской области, утвержденного постановлением Правительства Ростовской области от 13.01.2012 № 20, Региональная служба по тарифам Ростовской области </w:t>
      </w:r>
    </w:p>
    <w:p w14:paraId="12000000">
      <w:pPr>
        <w:ind w:firstLine="720" w:left="0"/>
        <w:jc w:val="center"/>
      </w:pPr>
    </w:p>
    <w:p w14:paraId="13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постановляет:</w:t>
      </w:r>
    </w:p>
    <w:p w14:paraId="14000000">
      <w:pPr>
        <w:pStyle w:val="Style_1"/>
        <w:spacing w:line="240" w:lineRule="auto"/>
        <w:ind w:firstLine="720" w:left="0"/>
        <w:jc w:val="both"/>
        <w:rPr>
          <w:b w:val="1"/>
          <w:sz w:val="24"/>
        </w:rPr>
      </w:pPr>
    </w:p>
    <w:p w14:paraId="15000000">
      <w:pPr>
        <w:numPr>
          <w:ilvl w:val="0"/>
          <w:numId w:val="1"/>
        </w:numPr>
        <w:tabs>
          <w:tab w:leader="none" w:pos="720" w:val="left"/>
          <w:tab w:leader="none" w:pos="900" w:val="left"/>
          <w:tab w:leader="none" w:pos="1260" w:val="clear"/>
        </w:tabs>
        <w:ind w:firstLine="540" w:left="0"/>
        <w:jc w:val="both"/>
        <w:rPr>
          <w:sz w:val="28"/>
        </w:rPr>
      </w:pPr>
      <w:r>
        <w:rPr>
          <w:sz w:val="28"/>
        </w:rPr>
        <w:t xml:space="preserve">Установить с 1 </w:t>
      </w:r>
      <w:r>
        <w:rPr>
          <w:sz w:val="28"/>
        </w:rPr>
        <w:t>января</w:t>
      </w:r>
      <w:r>
        <w:rPr>
          <w:sz w:val="28"/>
        </w:rPr>
        <w:t xml:space="preserve"> 202</w:t>
      </w:r>
      <w:r>
        <w:rPr>
          <w:sz w:val="28"/>
        </w:rPr>
        <w:t>5</w:t>
      </w:r>
      <w:r>
        <w:rPr>
          <w:sz w:val="28"/>
        </w:rPr>
        <w:t xml:space="preserve"> года по 31 декабря 202</w:t>
      </w:r>
      <w:r>
        <w:rPr>
          <w:sz w:val="28"/>
        </w:rPr>
        <w:t>5</w:t>
      </w:r>
      <w:r>
        <w:rPr>
          <w:sz w:val="28"/>
        </w:rPr>
        <w:t xml:space="preserve"> года сбытовые </w:t>
      </w:r>
      <w:r>
        <w:rPr>
          <w:sz w:val="28"/>
        </w:rPr>
        <w:fldChar w:fldCharType="begin"/>
      </w:r>
      <w:r>
        <w:rPr>
          <w:sz w:val="28"/>
        </w:rPr>
        <w:instrText>HYPERLINK "consultantplus://offline/ref=25E18100AA323EF2CBD696663102E7829D1A138E34A79E1F6A3CD94CB7BF01A9D28708B1651C5DE79F344FyCLFO"</w:instrText>
      </w:r>
      <w:r>
        <w:rPr>
          <w:sz w:val="28"/>
        </w:rPr>
        <w:fldChar w:fldCharType="separate"/>
      </w:r>
      <w:r>
        <w:rPr>
          <w:sz w:val="28"/>
        </w:rPr>
        <w:t>надбавки</w:t>
      </w:r>
      <w:r>
        <w:rPr>
          <w:sz w:val="28"/>
        </w:rPr>
        <w:fldChar w:fldCharType="end"/>
      </w:r>
      <w:r>
        <w:rPr>
          <w:sz w:val="28"/>
        </w:rPr>
        <w:t xml:space="preserve"> гарантирующего поставщика ПАО «ТНС </w:t>
      </w:r>
      <w:r>
        <w:rPr>
          <w:sz w:val="28"/>
        </w:rPr>
        <w:t>энерго</w:t>
      </w:r>
      <w:r>
        <w:rPr>
          <w:sz w:val="28"/>
        </w:rPr>
        <w:t xml:space="preserve"> Ростов-на-Дону», поставляющего электрическую энергию (мощность) на розничном рынке на территории Ростовской области, в границах зон его деятельности, согласно приложению к постановлению.</w:t>
      </w:r>
    </w:p>
    <w:p w14:paraId="16000000">
      <w:pPr>
        <w:numPr>
          <w:ilvl w:val="0"/>
          <w:numId w:val="1"/>
        </w:numPr>
        <w:tabs>
          <w:tab w:leader="none" w:pos="720" w:val="left"/>
          <w:tab w:leader="none" w:pos="900" w:val="left"/>
          <w:tab w:leader="none" w:pos="1260" w:val="clear"/>
        </w:tabs>
        <w:ind w:firstLine="540" w:left="0"/>
        <w:jc w:val="both"/>
        <w:rPr>
          <w:sz w:val="28"/>
        </w:rPr>
      </w:pPr>
      <w:r>
        <w:rPr>
          <w:sz w:val="28"/>
        </w:rPr>
        <w:t xml:space="preserve">Постановление вступает в силу с 1 </w:t>
      </w:r>
      <w:r>
        <w:rPr>
          <w:sz w:val="28"/>
        </w:rPr>
        <w:t>января</w:t>
      </w:r>
      <w:r>
        <w:rPr>
          <w:sz w:val="28"/>
        </w:rPr>
        <w:t xml:space="preserve"> 202</w:t>
      </w:r>
      <w:r>
        <w:rPr>
          <w:sz w:val="28"/>
        </w:rPr>
        <w:t>5</w:t>
      </w:r>
      <w:r>
        <w:rPr>
          <w:sz w:val="28"/>
        </w:rPr>
        <w:t xml:space="preserve"> года.</w:t>
      </w:r>
    </w:p>
    <w:p w14:paraId="17000000">
      <w:pPr>
        <w:tabs>
          <w:tab w:leader="none" w:pos="900" w:val="left"/>
        </w:tabs>
        <w:ind/>
        <w:jc w:val="both"/>
        <w:rPr>
          <w:sz w:val="28"/>
        </w:rPr>
      </w:pPr>
    </w:p>
    <w:p w14:paraId="18000000">
      <w:pPr>
        <w:tabs>
          <w:tab w:leader="none" w:pos="900" w:val="left"/>
        </w:tabs>
        <w:ind/>
        <w:jc w:val="both"/>
        <w:rPr>
          <w:sz w:val="28"/>
        </w:rPr>
      </w:pPr>
    </w:p>
    <w:p w14:paraId="19000000">
      <w:pPr>
        <w:tabs>
          <w:tab w:leader="none" w:pos="900" w:val="left"/>
        </w:tabs>
        <w:ind/>
        <w:jc w:val="both"/>
        <w:rPr>
          <w:sz w:val="28"/>
        </w:rPr>
      </w:pPr>
    </w:p>
    <w:p w14:paraId="1A000000">
      <w:pPr>
        <w:rPr>
          <w:b w:val="1"/>
          <w:sz w:val="28"/>
        </w:rPr>
      </w:pPr>
      <w:r>
        <w:rPr>
          <w:b w:val="1"/>
          <w:sz w:val="28"/>
        </w:rPr>
        <w:t xml:space="preserve">Руководитель </w:t>
      </w:r>
    </w:p>
    <w:p w14:paraId="1B000000">
      <w:pPr>
        <w:rPr>
          <w:b w:val="1"/>
          <w:sz w:val="28"/>
        </w:rPr>
      </w:pPr>
      <w:r>
        <w:rPr>
          <w:b w:val="1"/>
          <w:sz w:val="28"/>
        </w:rPr>
        <w:t xml:space="preserve">Региональной службы по тарифам </w:t>
      </w:r>
    </w:p>
    <w:p w14:paraId="1C000000">
      <w:pPr>
        <w:rPr>
          <w:b w:val="1"/>
          <w:sz w:val="28"/>
        </w:rPr>
      </w:pPr>
      <w:r>
        <w:rPr>
          <w:b w:val="1"/>
          <w:sz w:val="28"/>
        </w:rPr>
        <w:t>Ростовской области</w:t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 xml:space="preserve">                        А.В. Лукьянов</w:t>
      </w:r>
    </w:p>
    <w:p w14:paraId="1D000000">
      <w:pPr>
        <w:sectPr>
          <w:pgSz w:h="16838" w:orient="portrait" w:w="11906"/>
          <w:pgMar w:bottom="709" w:footer="709" w:gutter="0" w:header="709" w:left="851" w:right="851" w:top="993"/>
        </w:sectPr>
      </w:pPr>
    </w:p>
    <w:p w14:paraId="1E000000">
      <w:pPr>
        <w:ind/>
        <w:jc w:val="right"/>
        <w:rPr>
          <w:sz w:val="20"/>
        </w:rPr>
      </w:pPr>
      <w:r>
        <w:rPr>
          <w:sz w:val="20"/>
        </w:rPr>
        <w:t xml:space="preserve">Приложение </w:t>
      </w:r>
    </w:p>
    <w:p w14:paraId="1F000000">
      <w:pPr>
        <w:ind/>
        <w:jc w:val="right"/>
        <w:rPr>
          <w:sz w:val="20"/>
        </w:rPr>
      </w:pPr>
      <w:r>
        <w:rPr>
          <w:sz w:val="20"/>
        </w:rPr>
        <w:t>к постановлению</w:t>
      </w:r>
    </w:p>
    <w:p w14:paraId="20000000">
      <w:pPr>
        <w:ind/>
        <w:jc w:val="right"/>
        <w:rPr>
          <w:sz w:val="20"/>
        </w:rPr>
      </w:pPr>
      <w:r>
        <w:rPr>
          <w:sz w:val="20"/>
        </w:rPr>
        <w:t xml:space="preserve">Региональной службы по тарифам </w:t>
      </w:r>
    </w:p>
    <w:p w14:paraId="21000000">
      <w:pPr>
        <w:ind/>
        <w:jc w:val="right"/>
        <w:rPr>
          <w:sz w:val="20"/>
        </w:rPr>
      </w:pPr>
      <w:r>
        <w:rPr>
          <w:sz w:val="20"/>
        </w:rPr>
        <w:t xml:space="preserve">Ростовской области </w:t>
      </w:r>
    </w:p>
    <w:p w14:paraId="22000000">
      <w:pPr>
        <w:ind/>
        <w:jc w:val="right"/>
        <w:rPr>
          <w:sz w:val="20"/>
        </w:rPr>
      </w:pPr>
      <w:r>
        <w:rPr>
          <w:sz w:val="20"/>
        </w:rPr>
        <w:t xml:space="preserve">от </w:t>
      </w:r>
      <w:r>
        <w:rPr>
          <w:sz w:val="20"/>
        </w:rPr>
        <w:t>26</w:t>
      </w:r>
      <w:r>
        <w:rPr>
          <w:sz w:val="20"/>
        </w:rPr>
        <w:t>.</w:t>
      </w:r>
      <w:r>
        <w:rPr>
          <w:sz w:val="20"/>
        </w:rPr>
        <w:t>11</w:t>
      </w:r>
      <w:r>
        <w:rPr>
          <w:sz w:val="20"/>
        </w:rPr>
        <w:t>.202</w:t>
      </w:r>
      <w:r>
        <w:rPr>
          <w:sz w:val="20"/>
        </w:rPr>
        <w:t>4</w:t>
      </w:r>
      <w:r>
        <w:rPr>
          <w:sz w:val="20"/>
        </w:rPr>
        <w:t xml:space="preserve"> № </w:t>
      </w:r>
      <w:r>
        <w:rPr>
          <w:sz w:val="20"/>
        </w:rPr>
        <w:t>554</w:t>
      </w:r>
      <w:bookmarkStart w:id="1" w:name="_GoBack"/>
      <w:bookmarkEnd w:id="1"/>
    </w:p>
    <w:p w14:paraId="23000000">
      <w:pPr>
        <w:ind/>
        <w:jc w:val="center"/>
      </w:pPr>
    </w:p>
    <w:p w14:paraId="24000000">
      <w:pPr>
        <w:ind/>
        <w:jc w:val="center"/>
      </w:pPr>
    </w:p>
    <w:p w14:paraId="25000000">
      <w:pPr>
        <w:ind/>
        <w:jc w:val="center"/>
      </w:pPr>
    </w:p>
    <w:p w14:paraId="26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Сбытовые надбавки</w:t>
      </w:r>
    </w:p>
    <w:p w14:paraId="27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гарантирующ</w:t>
      </w:r>
      <w:r>
        <w:rPr>
          <w:b w:val="1"/>
          <w:sz w:val="28"/>
        </w:rPr>
        <w:t>его</w:t>
      </w:r>
      <w:r>
        <w:rPr>
          <w:b w:val="1"/>
          <w:sz w:val="28"/>
        </w:rPr>
        <w:t xml:space="preserve"> поставщик</w:t>
      </w:r>
      <w:r>
        <w:rPr>
          <w:b w:val="1"/>
          <w:sz w:val="28"/>
        </w:rPr>
        <w:t>а</w:t>
      </w:r>
      <w:r>
        <w:rPr>
          <w:b w:val="1"/>
          <w:sz w:val="28"/>
        </w:rPr>
        <w:t xml:space="preserve"> электрической энергии</w:t>
      </w:r>
      <w:r>
        <w:t xml:space="preserve"> </w:t>
      </w:r>
      <w:r>
        <w:rPr>
          <w:b w:val="1"/>
          <w:sz w:val="28"/>
        </w:rPr>
        <w:t xml:space="preserve">ПАО «ТНС </w:t>
      </w:r>
      <w:r>
        <w:rPr>
          <w:b w:val="1"/>
          <w:sz w:val="28"/>
        </w:rPr>
        <w:t>энерго</w:t>
      </w:r>
      <w:r>
        <w:rPr>
          <w:b w:val="1"/>
          <w:sz w:val="28"/>
        </w:rPr>
        <w:t xml:space="preserve"> Ростов-на-Дону»,</w:t>
      </w:r>
    </w:p>
    <w:p w14:paraId="28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поставляющ</w:t>
      </w:r>
      <w:r>
        <w:rPr>
          <w:b w:val="1"/>
          <w:sz w:val="28"/>
        </w:rPr>
        <w:t>его</w:t>
      </w:r>
      <w:r>
        <w:rPr>
          <w:b w:val="1"/>
          <w:sz w:val="28"/>
        </w:rPr>
        <w:t xml:space="preserve"> электрическую энергию (мощность)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на розничном рынке</w:t>
      </w:r>
      <w:r>
        <w:rPr>
          <w:b w:val="1"/>
          <w:sz w:val="28"/>
        </w:rPr>
        <w:t xml:space="preserve"> в границах Ростовской области</w:t>
      </w:r>
      <w:r>
        <w:rPr>
          <w:b w:val="1"/>
          <w:sz w:val="28"/>
        </w:rPr>
        <w:t>,</w:t>
      </w:r>
    </w:p>
    <w:p w14:paraId="29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на 2025 год</w:t>
      </w:r>
    </w:p>
    <w:p w14:paraId="2A000000">
      <w:pPr>
        <w:ind/>
        <w:jc w:val="center"/>
        <w:rPr>
          <w:b w:val="1"/>
          <w:sz w:val="28"/>
        </w:rPr>
      </w:pPr>
    </w:p>
    <w:p w14:paraId="2B000000">
      <w:pPr>
        <w:ind/>
        <w:jc w:val="center"/>
        <w:rPr>
          <w:b w:val="1"/>
          <w:sz w:val="28"/>
        </w:rPr>
      </w:pP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75"/>
        <w:gridCol w:w="2269"/>
        <w:gridCol w:w="1264"/>
        <w:gridCol w:w="1306"/>
        <w:gridCol w:w="1264"/>
        <w:gridCol w:w="1264"/>
        <w:gridCol w:w="1264"/>
        <w:gridCol w:w="1264"/>
        <w:gridCol w:w="1264"/>
        <w:gridCol w:w="1264"/>
        <w:gridCol w:w="1264"/>
        <w:gridCol w:w="1197"/>
      </w:tblGrid>
      <w:tr>
        <w:trPr>
          <w:trHeight w:hRule="atLeast" w:val="562"/>
        </w:trPr>
        <w:tc>
          <w:tcPr>
            <w:tcW w:type="dxa" w:w="6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C000000">
            <w:pPr>
              <w:tabs>
                <w:tab w:leader="none" w:pos="2095" w:val="left"/>
              </w:tabs>
              <w:ind/>
              <w:jc w:val="center"/>
            </w:pPr>
            <w:r>
              <w:t>№</w:t>
            </w:r>
          </w:p>
        </w:tc>
        <w:tc>
          <w:tcPr>
            <w:tcW w:type="dxa" w:w="226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D000000">
            <w:pPr>
              <w:tabs>
                <w:tab w:leader="none" w:pos="2095" w:val="left"/>
              </w:tabs>
              <w:ind/>
              <w:jc w:val="center"/>
            </w:pPr>
          </w:p>
          <w:p w14:paraId="2E000000">
            <w:pPr>
              <w:ind/>
              <w:jc w:val="center"/>
            </w:pPr>
            <w:r>
              <w:t>Наименование гарантирующего поставщика</w:t>
            </w:r>
          </w:p>
        </w:tc>
        <w:tc>
          <w:tcPr>
            <w:tcW w:type="dxa" w:w="12615"/>
            <w:gridSpan w:val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F000000">
            <w:pPr>
              <w:ind/>
              <w:jc w:val="center"/>
            </w:pPr>
            <w:r>
              <w:t>Сбытовая надбавка, руб./</w:t>
            </w:r>
            <w:r>
              <w:t>кВт·ч</w:t>
            </w:r>
            <w:r>
              <w:t xml:space="preserve"> (без учета налога на добавленную стоимость)</w:t>
            </w:r>
          </w:p>
        </w:tc>
      </w:tr>
      <w:tr>
        <w:trPr>
          <w:trHeight w:hRule="atLeast" w:val="2169"/>
        </w:trP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22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257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0000000">
            <w:pPr>
              <w:ind/>
              <w:jc w:val="center"/>
            </w:pPr>
            <w:r>
              <w:t>население и приравненные к нему категории потребителей</w:t>
            </w:r>
          </w:p>
        </w:tc>
        <w:tc>
          <w:tcPr>
            <w:tcW w:type="dxa" w:w="2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1000000">
            <w:pPr>
              <w:tabs>
                <w:tab w:leader="none" w:pos="2095" w:val="left"/>
              </w:tabs>
              <w:ind/>
              <w:jc w:val="center"/>
            </w:pPr>
            <w:r>
              <w:t>сетевые организации, покупающие электрическую энергию для компенсации потерь</w:t>
            </w:r>
          </w:p>
        </w:tc>
        <w:tc>
          <w:tcPr>
            <w:tcW w:type="dxa" w:w="2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2000000">
            <w:pPr>
              <w:ind/>
              <w:jc w:val="center"/>
            </w:pPr>
            <w:r>
              <w:t xml:space="preserve">прочие потребители с максимальной мощностью принадлежащих им </w:t>
            </w:r>
            <w:r>
              <w:t>энергопринимающих</w:t>
            </w:r>
            <w:r>
              <w:t xml:space="preserve"> устройств менее 670 кВт</w:t>
            </w:r>
          </w:p>
        </w:tc>
        <w:tc>
          <w:tcPr>
            <w:tcW w:type="dxa" w:w="2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3000000">
            <w:pPr>
              <w:ind/>
              <w:jc w:val="center"/>
            </w:pPr>
            <w:r>
              <w:t xml:space="preserve">прочие потребители с максимальной мощностью принадлежащих им </w:t>
            </w:r>
            <w:r>
              <w:t>энергопринимающих</w:t>
            </w:r>
            <w:r>
              <w:t xml:space="preserve"> устройств от 670 кВт до 10 МВт</w:t>
            </w:r>
          </w:p>
        </w:tc>
        <w:tc>
          <w:tcPr>
            <w:tcW w:type="dxa" w:w="24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4000000">
            <w:pPr>
              <w:ind/>
              <w:jc w:val="center"/>
            </w:pPr>
            <w:r>
              <w:t xml:space="preserve">прочие потребители с максимальной мощностью принадлежащих им </w:t>
            </w:r>
            <w:r>
              <w:t>энергопринимающих</w:t>
            </w:r>
            <w:r>
              <w:t xml:space="preserve"> устройств не менее 10 МВт</w:t>
            </w:r>
          </w:p>
        </w:tc>
      </w:tr>
      <w:tr>
        <w:trPr>
          <w:trHeight w:hRule="atLeast" w:val="794"/>
        </w:trPr>
        <w:tc>
          <w:tcPr>
            <w:tcW w:type="dxa" w:w="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22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2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5000000">
            <w:pPr>
              <w:ind w:firstLine="0" w:left="-78" w:right="-6"/>
              <w:jc w:val="center"/>
            </w:pPr>
            <w:r>
              <w:t>I полугодие</w:t>
            </w:r>
          </w:p>
        </w:tc>
        <w:tc>
          <w:tcPr>
            <w:tcW w:type="dxa" w:w="1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6000000">
            <w:pPr>
              <w:ind/>
              <w:jc w:val="center"/>
            </w:pPr>
            <w:r>
              <w:t>II полугодие</w:t>
            </w:r>
          </w:p>
        </w:tc>
        <w:tc>
          <w:tcPr>
            <w:tcW w:type="dxa" w:w="12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7000000">
            <w:pPr>
              <w:ind w:firstLine="0" w:left="-78" w:right="-6"/>
              <w:jc w:val="center"/>
            </w:pPr>
            <w:r>
              <w:t>I полугодие</w:t>
            </w:r>
          </w:p>
        </w:tc>
        <w:tc>
          <w:tcPr>
            <w:tcW w:type="dxa" w:w="12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8000000">
            <w:pPr>
              <w:ind w:firstLine="0" w:left="-81" w:right="-145"/>
              <w:jc w:val="center"/>
            </w:pPr>
            <w:r>
              <w:t>II полугодие</w:t>
            </w:r>
          </w:p>
        </w:tc>
        <w:tc>
          <w:tcPr>
            <w:tcW w:type="dxa" w:w="12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9000000">
            <w:pPr>
              <w:ind w:firstLine="0" w:left="-78" w:right="-6"/>
              <w:jc w:val="center"/>
            </w:pPr>
            <w:r>
              <w:t>I полугодие</w:t>
            </w:r>
          </w:p>
        </w:tc>
        <w:tc>
          <w:tcPr>
            <w:tcW w:type="dxa" w:w="12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A000000">
            <w:pPr>
              <w:ind w:firstLine="0" w:left="-81" w:right="-145"/>
              <w:jc w:val="center"/>
            </w:pPr>
            <w:r>
              <w:t>II полугодие</w:t>
            </w:r>
          </w:p>
        </w:tc>
        <w:tc>
          <w:tcPr>
            <w:tcW w:type="dxa" w:w="12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B000000">
            <w:pPr>
              <w:ind w:firstLine="0" w:left="-78" w:right="-6"/>
              <w:jc w:val="center"/>
            </w:pPr>
            <w:r>
              <w:t>I полугодие</w:t>
            </w:r>
          </w:p>
        </w:tc>
        <w:tc>
          <w:tcPr>
            <w:tcW w:type="dxa" w:w="12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C000000">
            <w:pPr>
              <w:ind w:firstLine="0" w:left="-81" w:right="-145"/>
              <w:jc w:val="center"/>
            </w:pPr>
            <w:r>
              <w:t>II полугодие</w:t>
            </w:r>
          </w:p>
        </w:tc>
        <w:tc>
          <w:tcPr>
            <w:tcW w:type="dxa" w:w="12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D000000">
            <w:pPr>
              <w:ind w:firstLine="0" w:left="-78" w:right="-6"/>
              <w:jc w:val="center"/>
            </w:pPr>
            <w:r>
              <w:t>I полугодие</w:t>
            </w:r>
          </w:p>
        </w:tc>
        <w:tc>
          <w:tcPr>
            <w:tcW w:type="dxa" w:w="11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E000000">
            <w:pPr>
              <w:ind w:firstLine="0" w:left="-81" w:right="-145"/>
              <w:jc w:val="center"/>
            </w:pPr>
            <w:r>
              <w:t>II полугодие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F000000">
            <w:pPr>
              <w:ind/>
              <w:jc w:val="center"/>
            </w:pPr>
            <w:r>
              <w:t>1</w:t>
            </w:r>
          </w:p>
        </w:tc>
        <w:tc>
          <w:tcPr>
            <w:tcW w:type="dxa" w:w="22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0000000">
            <w:pPr>
              <w:ind/>
              <w:jc w:val="center"/>
            </w:pPr>
            <w:r>
              <w:t>2</w:t>
            </w:r>
          </w:p>
        </w:tc>
        <w:tc>
          <w:tcPr>
            <w:tcW w:type="dxa" w:w="12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1000000">
            <w:pPr>
              <w:ind/>
              <w:jc w:val="center"/>
            </w:pPr>
            <w:r>
              <w:t>3</w:t>
            </w:r>
          </w:p>
        </w:tc>
        <w:tc>
          <w:tcPr>
            <w:tcW w:type="dxa" w:w="1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2000000">
            <w:pPr>
              <w:ind/>
              <w:jc w:val="center"/>
            </w:pPr>
            <w:r>
              <w:t>4</w:t>
            </w:r>
          </w:p>
        </w:tc>
        <w:tc>
          <w:tcPr>
            <w:tcW w:type="dxa" w:w="12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3000000">
            <w:pPr>
              <w:ind/>
              <w:jc w:val="center"/>
            </w:pPr>
            <w:r>
              <w:t>5</w:t>
            </w:r>
          </w:p>
        </w:tc>
        <w:tc>
          <w:tcPr>
            <w:tcW w:type="dxa" w:w="12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4000000">
            <w:pPr>
              <w:ind/>
              <w:jc w:val="center"/>
            </w:pPr>
            <w:r>
              <w:t>6</w:t>
            </w:r>
          </w:p>
        </w:tc>
        <w:tc>
          <w:tcPr>
            <w:tcW w:type="dxa" w:w="12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5000000">
            <w:pPr>
              <w:ind/>
              <w:jc w:val="center"/>
            </w:pPr>
            <w:r>
              <w:t>7</w:t>
            </w:r>
          </w:p>
        </w:tc>
        <w:tc>
          <w:tcPr>
            <w:tcW w:type="dxa" w:w="12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6000000">
            <w:pPr>
              <w:ind/>
              <w:jc w:val="center"/>
            </w:pPr>
            <w:r>
              <w:t>8</w:t>
            </w:r>
          </w:p>
        </w:tc>
        <w:tc>
          <w:tcPr>
            <w:tcW w:type="dxa" w:w="12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7000000">
            <w:pPr>
              <w:ind/>
              <w:jc w:val="center"/>
            </w:pPr>
            <w:r>
              <w:t>9</w:t>
            </w:r>
          </w:p>
        </w:tc>
        <w:tc>
          <w:tcPr>
            <w:tcW w:type="dxa" w:w="12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8000000">
            <w:pPr>
              <w:ind/>
              <w:jc w:val="center"/>
            </w:pPr>
            <w:r>
              <w:t>10</w:t>
            </w:r>
          </w:p>
        </w:tc>
        <w:tc>
          <w:tcPr>
            <w:tcW w:type="dxa" w:w="12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9000000">
            <w:pPr>
              <w:ind/>
              <w:jc w:val="center"/>
            </w:pPr>
            <w:r>
              <w:t>11</w:t>
            </w:r>
          </w:p>
        </w:tc>
        <w:tc>
          <w:tcPr>
            <w:tcW w:type="dxa" w:w="11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A000000">
            <w:pPr>
              <w:ind/>
              <w:jc w:val="center"/>
            </w:pPr>
            <w:r>
              <w:t>12</w:t>
            </w:r>
          </w:p>
        </w:tc>
      </w:tr>
      <w:tr>
        <w:trPr>
          <w:trHeight w:hRule="atLeast" w:val="830"/>
        </w:trP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B000000">
            <w:pPr>
              <w:ind/>
              <w:jc w:val="center"/>
            </w:pPr>
            <w:r>
              <w:t>1.</w:t>
            </w:r>
          </w:p>
        </w:tc>
        <w:tc>
          <w:tcPr>
            <w:tcW w:type="dxa" w:w="22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C000000">
            <w:pPr>
              <w:ind/>
              <w:jc w:val="center"/>
            </w:pPr>
            <w:r>
              <w:t xml:space="preserve">ПАО «ТНС </w:t>
            </w:r>
            <w:r>
              <w:t>энерго</w:t>
            </w:r>
            <w:r>
              <w:t xml:space="preserve"> Ростов-на-Дону»</w:t>
            </w:r>
          </w:p>
        </w:tc>
        <w:tc>
          <w:tcPr>
            <w:tcW w:type="dxa" w:w="12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D000000">
            <w:pPr>
              <w:ind/>
              <w:jc w:val="center"/>
            </w:pPr>
            <w:r>
              <w:t>0,37549</w:t>
            </w:r>
          </w:p>
        </w:tc>
        <w:tc>
          <w:tcPr>
            <w:tcW w:type="dxa" w:w="1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E000000">
            <w:pPr>
              <w:ind/>
              <w:jc w:val="center"/>
            </w:pPr>
            <w:r>
              <w:t>0,</w:t>
            </w:r>
            <w:r>
              <w:t>58300</w:t>
            </w:r>
          </w:p>
        </w:tc>
        <w:tc>
          <w:tcPr>
            <w:tcW w:type="dxa" w:w="12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F000000">
            <w:pPr>
              <w:ind/>
              <w:jc w:val="center"/>
            </w:pPr>
            <w:r>
              <w:t>0,</w:t>
            </w:r>
            <w:r>
              <w:t>47980</w:t>
            </w:r>
          </w:p>
        </w:tc>
        <w:tc>
          <w:tcPr>
            <w:tcW w:type="dxa" w:w="12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0000000">
            <w:pPr>
              <w:ind/>
              <w:jc w:val="center"/>
            </w:pPr>
            <w:r>
              <w:t>0,</w:t>
            </w:r>
            <w:r>
              <w:t>47980</w:t>
            </w:r>
          </w:p>
        </w:tc>
        <w:tc>
          <w:tcPr>
            <w:tcW w:type="dxa" w:w="12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1000000">
            <w:pPr>
              <w:ind/>
              <w:jc w:val="center"/>
            </w:pPr>
            <w:r>
              <w:t>1,0</w:t>
            </w:r>
            <w:r>
              <w:t>0275</w:t>
            </w:r>
          </w:p>
        </w:tc>
        <w:tc>
          <w:tcPr>
            <w:tcW w:type="dxa" w:w="12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2000000">
            <w:pPr>
              <w:ind/>
              <w:jc w:val="center"/>
            </w:pPr>
            <w:r>
              <w:t>1,0</w:t>
            </w:r>
            <w:r>
              <w:t>0276</w:t>
            </w:r>
          </w:p>
        </w:tc>
        <w:tc>
          <w:tcPr>
            <w:tcW w:type="dxa" w:w="12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3000000">
            <w:pPr>
              <w:ind/>
              <w:jc w:val="center"/>
            </w:pPr>
            <w:r>
              <w:t>0,3</w:t>
            </w:r>
            <w:r>
              <w:t>3961</w:t>
            </w:r>
          </w:p>
        </w:tc>
        <w:tc>
          <w:tcPr>
            <w:tcW w:type="dxa" w:w="12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4000000">
            <w:pPr>
              <w:ind/>
              <w:jc w:val="center"/>
            </w:pPr>
            <w:r>
              <w:t>0,3</w:t>
            </w:r>
            <w:r>
              <w:t>3856</w:t>
            </w:r>
          </w:p>
        </w:tc>
        <w:tc>
          <w:tcPr>
            <w:tcW w:type="dxa" w:w="12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5000000">
            <w:pPr>
              <w:ind/>
              <w:jc w:val="center"/>
            </w:pPr>
            <w:r>
              <w:t>0,3</w:t>
            </w:r>
            <w:r>
              <w:t>3961</w:t>
            </w:r>
          </w:p>
        </w:tc>
        <w:tc>
          <w:tcPr>
            <w:tcW w:type="dxa" w:w="11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6000000">
            <w:pPr>
              <w:ind/>
              <w:jc w:val="center"/>
            </w:pPr>
            <w:r>
              <w:t>0,3</w:t>
            </w:r>
            <w:r>
              <w:t>3856</w:t>
            </w:r>
          </w:p>
        </w:tc>
      </w:tr>
    </w:tbl>
    <w:p w14:paraId="57000000">
      <w:pPr>
        <w:tabs>
          <w:tab w:leader="none" w:pos="2095" w:val="left"/>
        </w:tabs>
        <w:ind/>
      </w:pPr>
    </w:p>
    <w:p w14:paraId="58000000">
      <w:pPr>
        <w:tabs>
          <w:tab w:leader="none" w:pos="2095" w:val="left"/>
        </w:tabs>
        <w:ind/>
      </w:pPr>
    </w:p>
    <w:sectPr>
      <w:pgSz w:h="11906" w:orient="landscape" w:w="16838"/>
      <w:pgMar w:bottom="851" w:footer="709" w:gutter="0" w:header="709" w:left="851" w:right="678" w:top="1135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tabs>
          <w:tab w:leader="none" w:pos="1260" w:val="left"/>
        </w:tabs>
        <w:ind w:hanging="360" w:left="1260"/>
      </w:pPr>
    </w:lvl>
    <w:lvl w:ilvl="1">
      <w:start w:val="1"/>
      <w:numFmt w:val="lowerLetter"/>
      <w:lvlText w:val="%2."/>
      <w:lvlJc w:val="left"/>
      <w:pPr>
        <w:tabs>
          <w:tab w:leader="none" w:pos="1980" w:val="left"/>
        </w:tabs>
        <w:ind w:hanging="360" w:left="1980"/>
      </w:pPr>
    </w:lvl>
    <w:lvl w:ilvl="2">
      <w:start w:val="1"/>
      <w:numFmt w:val="lowerRoman"/>
      <w:lvlText w:val="%3."/>
      <w:lvlJc w:val="right"/>
      <w:pPr>
        <w:tabs>
          <w:tab w:leader="none" w:pos="2700" w:val="left"/>
        </w:tabs>
        <w:ind w:hanging="180" w:left="2700"/>
      </w:pPr>
    </w:lvl>
    <w:lvl w:ilvl="3">
      <w:start w:val="1"/>
      <w:numFmt w:val="decimal"/>
      <w:lvlText w:val="%4."/>
      <w:lvlJc w:val="left"/>
      <w:pPr>
        <w:tabs>
          <w:tab w:leader="none" w:pos="3420" w:val="left"/>
        </w:tabs>
        <w:ind w:hanging="360" w:left="3420"/>
      </w:pPr>
    </w:lvl>
    <w:lvl w:ilvl="4">
      <w:start w:val="1"/>
      <w:numFmt w:val="lowerLetter"/>
      <w:lvlText w:val="%5."/>
      <w:lvlJc w:val="left"/>
      <w:pPr>
        <w:tabs>
          <w:tab w:leader="none" w:pos="4140" w:val="left"/>
        </w:tabs>
        <w:ind w:hanging="360" w:left="4140"/>
      </w:pPr>
    </w:lvl>
    <w:lvl w:ilvl="5">
      <w:start w:val="1"/>
      <w:numFmt w:val="lowerRoman"/>
      <w:lvlText w:val="%6."/>
      <w:lvlJc w:val="right"/>
      <w:pPr>
        <w:tabs>
          <w:tab w:leader="none" w:pos="4860" w:val="left"/>
        </w:tabs>
        <w:ind w:hanging="180" w:left="4860"/>
      </w:pPr>
    </w:lvl>
    <w:lvl w:ilvl="6">
      <w:start w:val="1"/>
      <w:numFmt w:val="decimal"/>
      <w:lvlText w:val="%7."/>
      <w:lvlJc w:val="left"/>
      <w:pPr>
        <w:tabs>
          <w:tab w:leader="none" w:pos="5580" w:val="left"/>
        </w:tabs>
        <w:ind w:hanging="360" w:left="5580"/>
      </w:pPr>
    </w:lvl>
    <w:lvl w:ilvl="7">
      <w:start w:val="1"/>
      <w:numFmt w:val="lowerLetter"/>
      <w:lvlText w:val="%8."/>
      <w:lvlJc w:val="left"/>
      <w:pPr>
        <w:tabs>
          <w:tab w:leader="none" w:pos="6300" w:val="left"/>
        </w:tabs>
        <w:ind w:hanging="360" w:left="6300"/>
      </w:pPr>
    </w:lvl>
    <w:lvl w:ilvl="8">
      <w:start w:val="1"/>
      <w:numFmt w:val="lowerRoman"/>
      <w:lvlText w:val="%9."/>
      <w:lvlJc w:val="right"/>
      <w:pPr>
        <w:tabs>
          <w:tab w:leader="none" w:pos="7020" w:val="left"/>
        </w:tabs>
        <w:ind w:hanging="180" w:left="70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10"/>
    <w:next w:val="Style_3"/>
    <w:link w:val="Style_6_ch"/>
    <w:pPr>
      <w:ind w:firstLine="0" w:left="1800"/>
    </w:pPr>
    <w:rPr>
      <w:rFonts w:ascii="XO Thames" w:hAnsi="XO Thames"/>
      <w:sz w:val="28"/>
    </w:rPr>
  </w:style>
  <w:style w:styleId="Style_6_ch" w:type="character">
    <w:name w:val="toc 10"/>
    <w:link w:val="Style_6"/>
    <w:rPr>
      <w:rFonts w:ascii="XO Thames" w:hAnsi="XO Thames"/>
      <w:sz w:val="28"/>
    </w:rPr>
  </w:style>
  <w:style w:styleId="Style_7" w:type="paragraph">
    <w:name w:val="Знак1 Знак Знак Знак"/>
    <w:basedOn w:val="Style_3"/>
    <w:link w:val="Style_7_ch"/>
    <w:pPr>
      <w:spacing w:afterAutospacing="on" w:beforeAutospacing="on"/>
      <w:ind/>
    </w:pPr>
    <w:rPr>
      <w:rFonts w:ascii="Tahoma" w:hAnsi="Tahoma"/>
      <w:sz w:val="20"/>
    </w:rPr>
  </w:style>
  <w:style w:styleId="Style_7_ch" w:type="character">
    <w:name w:val="Знак1 Знак Знак Знак"/>
    <w:basedOn w:val="Style_3_ch"/>
    <w:link w:val="Style_7"/>
    <w:rPr>
      <w:rFonts w:ascii="Tahoma" w:hAnsi="Tahoma"/>
      <w:sz w:val="20"/>
    </w:rPr>
  </w:style>
  <w:style w:styleId="Style_8" w:type="paragraph">
    <w:name w:val="toc 6"/>
    <w:next w:val="Style_3"/>
    <w:link w:val="Style_8_ch"/>
    <w:uiPriority w:val="39"/>
    <w:pPr>
      <w:ind w:firstLine="0" w:left="1000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3"/>
    <w:link w:val="Style_9_ch"/>
    <w:uiPriority w:val="39"/>
    <w:pPr>
      <w:ind w:firstLine="0" w:left="1200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Гиперссылка1"/>
    <w:link w:val="Style_10_ch"/>
    <w:rPr>
      <w:color w:val="0000FF"/>
      <w:u w:val="single"/>
    </w:rPr>
  </w:style>
  <w:style w:styleId="Style_10_ch" w:type="character">
    <w:name w:val="Гиперссылка1"/>
    <w:link w:val="Style_10"/>
    <w:rPr>
      <w:color w:val="0000FF"/>
      <w:u w:val="single"/>
    </w:rPr>
  </w:style>
  <w:style w:styleId="Style_1" w:type="paragraph">
    <w:name w:val="Body Text Indent 2"/>
    <w:basedOn w:val="Style_3"/>
    <w:link w:val="Style_1_ch"/>
    <w:pPr>
      <w:spacing w:after="120" w:line="480" w:lineRule="auto"/>
      <w:ind w:firstLine="0" w:left="283"/>
    </w:pPr>
    <w:rPr>
      <w:sz w:val="28"/>
    </w:rPr>
  </w:style>
  <w:style w:styleId="Style_1_ch" w:type="character">
    <w:name w:val="Body Text Indent 2"/>
    <w:basedOn w:val="Style_3_ch"/>
    <w:link w:val="Style_1"/>
    <w:rPr>
      <w:sz w:val="28"/>
    </w:rPr>
  </w:style>
  <w:style w:styleId="Style_11" w:type="paragraph">
    <w:name w:val="heading 3"/>
    <w:next w:val="Style_3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ConsNormal"/>
    <w:link w:val="Style_12_ch"/>
    <w:pPr>
      <w:widowControl w:val="0"/>
      <w:ind w:firstLine="720" w:left="0"/>
    </w:pPr>
    <w:rPr>
      <w:rFonts w:ascii="Arial" w:hAnsi="Arial"/>
      <w:sz w:val="16"/>
    </w:rPr>
  </w:style>
  <w:style w:styleId="Style_12_ch" w:type="character">
    <w:name w:val="ConsNormal"/>
    <w:link w:val="Style_12"/>
    <w:rPr>
      <w:rFonts w:ascii="Arial" w:hAnsi="Arial"/>
      <w:sz w:val="16"/>
    </w:rPr>
  </w:style>
  <w:style w:styleId="Style_13" w:type="paragraph">
    <w:basedOn w:val="Style_3"/>
    <w:link w:val="Style_13_ch"/>
    <w:semiHidden w:val="1"/>
    <w:unhideWhenUsed w:val="1"/>
    <w:pPr>
      <w:spacing w:afterAutospacing="on" w:beforeAutospacing="on"/>
      <w:ind/>
    </w:pPr>
    <w:rPr>
      <w:rFonts w:ascii="Tahoma" w:hAnsi="Tahoma"/>
      <w:sz w:val="20"/>
    </w:rPr>
  </w:style>
  <w:style w:styleId="Style_13_ch" w:type="character">
    <w:basedOn w:val="Style_3_ch"/>
    <w:link w:val="Style_13"/>
    <w:semiHidden w:val="1"/>
    <w:unhideWhenUsed w:val="1"/>
    <w:rPr>
      <w:rFonts w:ascii="Tahoma" w:hAnsi="Tahoma"/>
      <w:sz w:val="20"/>
    </w:rPr>
  </w:style>
  <w:style w:styleId="Style_14" w:type="paragraph">
    <w:name w:val="Основной шрифт абзаца1"/>
    <w:link w:val="Style_14_ch"/>
  </w:style>
  <w:style w:styleId="Style_14_ch" w:type="character">
    <w:name w:val="Основной шрифт абзаца1"/>
    <w:link w:val="Style_14"/>
  </w:style>
  <w:style w:styleId="Style_15" w:type="paragraph">
    <w:name w:val="Обычный1"/>
    <w:link w:val="Style_15_ch"/>
    <w:rPr>
      <w:sz w:val="24"/>
    </w:rPr>
  </w:style>
  <w:style w:styleId="Style_15_ch" w:type="character">
    <w:name w:val="Обычный1"/>
    <w:link w:val="Style_15"/>
    <w:rPr>
      <w:sz w:val="24"/>
    </w:rPr>
  </w:style>
  <w:style w:styleId="Style_16" w:type="paragraph">
    <w:name w:val="toc 3"/>
    <w:next w:val="Style_3"/>
    <w:link w:val="Style_16_ch"/>
    <w:uiPriority w:val="39"/>
    <w:pPr>
      <w:ind w:firstLine="0" w:left="400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heading 5"/>
    <w:next w:val="Style_3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next w:val="Style_3"/>
    <w:link w:val="Style_1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3"/>
    <w:link w:val="Style_21_ch"/>
    <w:uiPriority w:val="39"/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ind/>
      <w:jc w:val="both"/>
    </w:pPr>
    <w:rPr>
      <w:rFonts w:ascii="XO Thames" w:hAnsi="XO Thames"/>
    </w:rPr>
  </w:style>
  <w:style w:styleId="Style_22_ch" w:type="character">
    <w:name w:val="Header and Footer"/>
    <w:link w:val="Style_22"/>
    <w:rPr>
      <w:rFonts w:ascii="XO Thames" w:hAnsi="XO Thames"/>
    </w:rPr>
  </w:style>
  <w:style w:styleId="Style_23" w:type="paragraph">
    <w:name w:val="ConsPlusTitle"/>
    <w:link w:val="Style_23_ch"/>
    <w:rPr>
      <w:b w:val="1"/>
      <w:sz w:val="24"/>
    </w:rPr>
  </w:style>
  <w:style w:styleId="Style_23_ch" w:type="character">
    <w:name w:val="ConsPlusTitle"/>
    <w:link w:val="Style_23"/>
    <w:rPr>
      <w:b w:val="1"/>
      <w:sz w:val="24"/>
    </w:rPr>
  </w:style>
  <w:style w:styleId="Style_24" w:type="paragraph">
    <w:name w:val="toc 9"/>
    <w:next w:val="Style_3"/>
    <w:link w:val="Style_24_ch"/>
    <w:uiPriority w:val="39"/>
    <w:pPr>
      <w:ind w:firstLine="0" w:left="1600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toc 8"/>
    <w:next w:val="Style_3"/>
    <w:link w:val="Style_25_ch"/>
    <w:uiPriority w:val="39"/>
    <w:pPr>
      <w:ind w:firstLine="0" w:left="1400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toc 5"/>
    <w:next w:val="Style_3"/>
    <w:link w:val="Style_26_ch"/>
    <w:uiPriority w:val="39"/>
    <w:pPr>
      <w:ind w:firstLine="0" w:left="800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Default Paragraph Font"/>
    <w:link w:val="Style_27_ch"/>
  </w:style>
  <w:style w:styleId="Style_27_ch" w:type="character">
    <w:name w:val="Default Paragraph Font"/>
    <w:link w:val="Style_27"/>
  </w:style>
  <w:style w:styleId="Style_28" w:type="paragraph">
    <w:name w:val="Balloon Text"/>
    <w:basedOn w:val="Style_3"/>
    <w:link w:val="Style_28_ch"/>
    <w:rPr>
      <w:rFonts w:ascii="Tahoma" w:hAnsi="Tahoma"/>
      <w:sz w:val="16"/>
    </w:rPr>
  </w:style>
  <w:style w:styleId="Style_28_ch" w:type="character">
    <w:name w:val="Balloon Text"/>
    <w:basedOn w:val="Style_3_ch"/>
    <w:link w:val="Style_28"/>
    <w:rPr>
      <w:rFonts w:ascii="Tahoma" w:hAnsi="Tahoma"/>
      <w:sz w:val="16"/>
    </w:rPr>
  </w:style>
  <w:style w:styleId="Style_29" w:type="paragraph">
    <w:name w:val="Subtitle"/>
    <w:next w:val="Style_3"/>
    <w:link w:val="Style_2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9_ch" w:type="character">
    <w:name w:val="Subtitle"/>
    <w:link w:val="Style_29"/>
    <w:rPr>
      <w:rFonts w:ascii="XO Thames" w:hAnsi="XO Thames"/>
      <w:i w:val="1"/>
      <w:sz w:val="24"/>
    </w:rPr>
  </w:style>
  <w:style w:styleId="Style_30" w:type="paragraph">
    <w:name w:val="Title"/>
    <w:next w:val="Style_3"/>
    <w:link w:val="Style_3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0_ch" w:type="character">
    <w:name w:val="Title"/>
    <w:link w:val="Style_30"/>
    <w:rPr>
      <w:rFonts w:ascii="XO Thames" w:hAnsi="XO Thames"/>
      <w:b w:val="1"/>
      <w:caps w:val="1"/>
      <w:sz w:val="40"/>
    </w:rPr>
  </w:style>
  <w:style w:styleId="Style_31" w:type="paragraph">
    <w:name w:val="heading 4"/>
    <w:next w:val="Style_3"/>
    <w:link w:val="Style_3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1_ch" w:type="character">
    <w:name w:val="heading 4"/>
    <w:link w:val="Style_31"/>
    <w:rPr>
      <w:rFonts w:ascii="XO Thames" w:hAnsi="XO Thames"/>
      <w:b w:val="1"/>
      <w:sz w:val="24"/>
    </w:rPr>
  </w:style>
  <w:style w:styleId="Style_32" w:type="paragraph">
    <w:name w:val="heading 2"/>
    <w:next w:val="Style_3"/>
    <w:link w:val="Style_3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2_ch" w:type="character">
    <w:name w:val="heading 2"/>
    <w:link w:val="Style_32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2024-11-27T11:14:55Z</dcterms:modified>
</cp:coreProperties>
</file>