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851" w:left="0" w:right="19"/>
        <w:jc w:val="right"/>
        <w:rPr>
          <w:color w:val="000000"/>
          <w:sz w:val="20"/>
        </w:rPr>
      </w:pPr>
      <w:r>
        <w:rPr>
          <w:color w:val="000000"/>
          <w:sz w:val="20"/>
        </w:rPr>
        <w:t>Приложение №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7</w:t>
      </w:r>
      <w:r>
        <w:rPr>
          <w:color w:val="000000"/>
          <w:sz w:val="20"/>
        </w:rPr>
        <w:br/>
      </w:r>
      <w:r>
        <w:rPr>
          <w:color w:val="000000"/>
          <w:sz w:val="20"/>
        </w:rPr>
        <w:t>к протоколу заседания Правления</w:t>
      </w:r>
      <w:r>
        <w:rPr>
          <w:color w:val="000000"/>
          <w:sz w:val="20"/>
        </w:rPr>
        <w:br/>
      </w:r>
      <w:r>
        <w:rPr>
          <w:color w:val="000000"/>
          <w:sz w:val="20"/>
        </w:rPr>
        <w:t>Региональной службы по тар</w:t>
      </w:r>
      <w:r>
        <w:rPr>
          <w:color w:val="000000"/>
          <w:sz w:val="20"/>
        </w:rPr>
        <w:t>ифам</w:t>
      </w:r>
      <w:r>
        <w:rPr>
          <w:color w:val="000000"/>
          <w:sz w:val="20"/>
        </w:rPr>
        <w:br/>
      </w:r>
      <w:r>
        <w:rPr>
          <w:color w:val="000000"/>
          <w:sz w:val="20"/>
        </w:rPr>
        <w:t>Ростовской области</w:t>
      </w:r>
      <w:r>
        <w:rPr>
          <w:color w:val="000000"/>
          <w:sz w:val="20"/>
        </w:rPr>
        <w:br/>
      </w:r>
      <w:r>
        <w:rPr>
          <w:color w:val="000000"/>
          <w:sz w:val="20"/>
        </w:rPr>
        <w:t xml:space="preserve">от 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29</w:t>
      </w:r>
      <w:r>
        <w:rPr>
          <w:color w:val="000000"/>
          <w:sz w:val="20"/>
        </w:rPr>
        <w:t>.</w:t>
      </w:r>
      <w:r>
        <w:rPr>
          <w:color w:val="000000"/>
          <w:sz w:val="20"/>
        </w:rPr>
        <w:t>10</w:t>
      </w:r>
      <w:r>
        <w:rPr>
          <w:color w:val="000000"/>
          <w:sz w:val="20"/>
        </w:rPr>
        <w:t>.20</w:t>
      </w:r>
      <w:r>
        <w:rPr>
          <w:color w:val="000000"/>
          <w:sz w:val="20"/>
        </w:rPr>
        <w:t>2</w:t>
      </w:r>
      <w:r>
        <w:rPr>
          <w:color w:val="000000"/>
          <w:sz w:val="20"/>
        </w:rPr>
        <w:t>4</w:t>
      </w:r>
      <w:r>
        <w:rPr>
          <w:color w:val="000000"/>
          <w:sz w:val="20"/>
        </w:rPr>
        <w:t xml:space="preserve"> №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>52</w:t>
      </w:r>
    </w:p>
    <w:p w14:paraId="02000000">
      <w:pPr>
        <w:ind w:firstLine="851" w:left="0"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8490" cy="61849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8490" cy="61849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ind w:firstLine="851" w:left="0"/>
        <w:jc w:val="center"/>
        <w:rPr>
          <w:b w:val="1"/>
          <w:sz w:val="26"/>
        </w:rPr>
      </w:pPr>
    </w:p>
    <w:p w14:paraId="04000000">
      <w:pPr>
        <w:ind w:firstLine="851" w:left="0"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5000000">
      <w:pPr>
        <w:ind w:firstLine="851" w:left="0"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6000000">
      <w:pPr>
        <w:ind w:firstLine="851" w:left="0"/>
        <w:jc w:val="center"/>
        <w:rPr>
          <w:b w:val="1"/>
          <w:sz w:val="26"/>
        </w:rPr>
      </w:pPr>
    </w:p>
    <w:p w14:paraId="07000000">
      <w:pPr>
        <w:ind w:firstLine="851" w:left="0"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8000000">
      <w:pPr>
        <w:ind w:firstLine="851" w:left="0"/>
        <w:jc w:val="center"/>
        <w:rPr>
          <w:sz w:val="16"/>
        </w:rPr>
      </w:pPr>
    </w:p>
    <w:p w14:paraId="09000000">
      <w:pPr>
        <w:ind w:firstLine="851" w:left="0" w:right="665"/>
        <w:jc w:val="center"/>
        <w:rPr>
          <w:color w:val="000000"/>
          <w:sz w:val="28"/>
        </w:rPr>
      </w:pPr>
      <w:r>
        <w:rPr>
          <w:color w:val="000000"/>
          <w:sz w:val="28"/>
        </w:rPr>
        <w:t>29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>10</w:t>
      </w:r>
      <w:r>
        <w:rPr>
          <w:color w:val="000000"/>
          <w:sz w:val="28"/>
        </w:rPr>
        <w:t>.20</w:t>
      </w:r>
      <w:r>
        <w:rPr>
          <w:color w:val="000000"/>
          <w:sz w:val="28"/>
        </w:rPr>
        <w:t>2</w:t>
      </w:r>
      <w:r>
        <w:rPr>
          <w:color w:val="000000"/>
          <w:sz w:val="28"/>
        </w:rPr>
        <w:t>4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           </w:t>
      </w:r>
      <w:r>
        <w:rPr>
          <w:color w:val="000000"/>
          <w:sz w:val="28"/>
        </w:rPr>
        <w:t>г. Ростов-на-Дону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249</w:t>
      </w:r>
      <w:bookmarkStart w:id="1" w:name="_GoBack"/>
      <w:bookmarkEnd w:id="1"/>
    </w:p>
    <w:p w14:paraId="0A000000">
      <w:pPr>
        <w:ind w:firstLine="851" w:left="0" w:right="665"/>
        <w:rPr>
          <w:color w:val="000000"/>
          <w:sz w:val="28"/>
        </w:rPr>
      </w:pPr>
    </w:p>
    <w:p w14:paraId="0B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Об утверждении инвестиционной программы </w:t>
      </w:r>
    </w:p>
    <w:p w14:paraId="0C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ГУП РО «УРСВ»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(</w:t>
      </w:r>
      <w:r>
        <w:rPr>
          <w:b w:val="1"/>
          <w:sz w:val="28"/>
        </w:rPr>
        <w:t>ИНН 6167110467)</w:t>
      </w:r>
      <w:r>
        <w:rPr>
          <w:b w:val="1"/>
          <w:sz w:val="28"/>
        </w:rPr>
        <w:t xml:space="preserve">, </w:t>
      </w:r>
      <w:r>
        <w:rPr>
          <w:b w:val="1"/>
          <w:sz w:val="28"/>
        </w:rPr>
        <w:t>филиал «Гуково-Зверевский»</w:t>
      </w:r>
      <w:r>
        <w:rPr>
          <w:b w:val="1"/>
          <w:sz w:val="28"/>
        </w:rPr>
        <w:t xml:space="preserve">, </w:t>
      </w:r>
      <w:r>
        <w:rPr>
          <w:b w:val="1"/>
          <w:sz w:val="28"/>
        </w:rPr>
        <w:t xml:space="preserve">осуществляющего деятельность </w:t>
      </w:r>
      <w:r>
        <w:rPr>
          <w:b w:val="1"/>
          <w:sz w:val="28"/>
        </w:rPr>
        <w:t>в сфере холодного водоснабжения и водоотведения</w:t>
      </w:r>
      <w:r>
        <w:rPr>
          <w:sz w:val="28"/>
        </w:rPr>
        <w:t xml:space="preserve">, </w:t>
      </w:r>
      <w:r>
        <w:rPr>
          <w:b w:val="1"/>
          <w:sz w:val="28"/>
        </w:rPr>
        <w:t>на 2025-202</w:t>
      </w:r>
      <w:r>
        <w:rPr>
          <w:b w:val="1"/>
          <w:sz w:val="28"/>
        </w:rPr>
        <w:t>9</w:t>
      </w:r>
      <w:r>
        <w:rPr>
          <w:b w:val="1"/>
          <w:sz w:val="28"/>
        </w:rPr>
        <w:t xml:space="preserve"> годы</w:t>
      </w:r>
    </w:p>
    <w:p w14:paraId="0D000000">
      <w:pPr>
        <w:ind w:firstLine="851" w:left="0"/>
        <w:jc w:val="center"/>
        <w:rPr>
          <w:color w:val="000000"/>
          <w:sz w:val="28"/>
        </w:rPr>
      </w:pPr>
    </w:p>
    <w:p w14:paraId="0E000000">
      <w:pPr>
        <w:ind w:firstLine="709" w:left="142"/>
        <w:jc w:val="both"/>
        <w:rPr>
          <w:sz w:val="26"/>
        </w:rPr>
      </w:pPr>
      <w:r>
        <w:rPr>
          <w:sz w:val="28"/>
        </w:rPr>
        <w:t>В соответствии с Федеральным законом от 07.12.2011 № 416-ФЗ                             «О водоснабжении и водоотведении», постановлением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</w:p>
    <w:p w14:paraId="0F000000">
      <w:pPr>
        <w:ind w:firstLine="851" w:left="-540"/>
        <w:jc w:val="center"/>
        <w:rPr>
          <w:b w:val="1"/>
          <w:sz w:val="26"/>
        </w:rPr>
      </w:pPr>
    </w:p>
    <w:p w14:paraId="10000000">
      <w:pPr>
        <w:ind w:firstLine="851" w:left="-540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1000000">
      <w:pPr>
        <w:ind w:firstLine="851" w:left="-540"/>
        <w:jc w:val="both"/>
        <w:rPr>
          <w:sz w:val="28"/>
        </w:rPr>
      </w:pPr>
    </w:p>
    <w:p w14:paraId="12000000">
      <w:pPr>
        <w:numPr>
          <w:ilvl w:val="0"/>
          <w:numId w:val="1"/>
        </w:num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 xml:space="preserve">Утвердить инвестиционную программу </w:t>
      </w:r>
      <w:r>
        <w:rPr>
          <w:sz w:val="28"/>
        </w:rPr>
        <w:t xml:space="preserve">ГУП РО «УРСВ» </w:t>
      </w:r>
      <w:r>
        <w:rPr>
          <w:sz w:val="28"/>
        </w:rPr>
        <w:t xml:space="preserve">                                  </w:t>
      </w:r>
      <w:r>
        <w:rPr>
          <w:sz w:val="28"/>
        </w:rPr>
        <w:t xml:space="preserve">(ИНН 6167110467), филиал «Гуково-Зверевский», </w:t>
      </w:r>
      <w:r>
        <w:rPr>
          <w:sz w:val="28"/>
        </w:rPr>
        <w:t>осуществляюще</w:t>
      </w:r>
      <w:r>
        <w:rPr>
          <w:sz w:val="28"/>
        </w:rPr>
        <w:t>го</w:t>
      </w:r>
      <w:r>
        <w:rPr>
          <w:sz w:val="28"/>
        </w:rPr>
        <w:t xml:space="preserve"> деятельность </w:t>
      </w:r>
      <w:r>
        <w:rPr>
          <w:sz w:val="28"/>
        </w:rPr>
        <w:t>в сфере холодного водоснабжения</w:t>
      </w:r>
      <w:r>
        <w:rPr>
          <w:sz w:val="28"/>
        </w:rPr>
        <w:t xml:space="preserve"> </w:t>
      </w:r>
      <w:r>
        <w:rPr>
          <w:sz w:val="28"/>
        </w:rPr>
        <w:t>и водоотведения</w:t>
      </w:r>
      <w:r>
        <w:rPr>
          <w:sz w:val="28"/>
        </w:rPr>
        <w:t>,</w:t>
      </w:r>
      <w:r>
        <w:rPr>
          <w:sz w:val="28"/>
        </w:rPr>
        <w:t xml:space="preserve"> на 202</w:t>
      </w:r>
      <w:r>
        <w:rPr>
          <w:sz w:val="28"/>
        </w:rPr>
        <w:t>5</w:t>
      </w:r>
      <w:r>
        <w:rPr>
          <w:sz w:val="28"/>
        </w:rPr>
        <w:t>-202</w:t>
      </w:r>
      <w:r>
        <w:rPr>
          <w:sz w:val="28"/>
        </w:rPr>
        <w:t>9</w:t>
      </w:r>
      <w:r>
        <w:rPr>
          <w:sz w:val="28"/>
        </w:rPr>
        <w:t xml:space="preserve"> годы согласно приложению к постановлению</w:t>
      </w:r>
      <w:r>
        <w:rPr>
          <w:sz w:val="28"/>
        </w:rPr>
        <w:t>.</w:t>
      </w:r>
    </w:p>
    <w:p w14:paraId="13000000">
      <w:pPr>
        <w:tabs>
          <w:tab w:leader="none" w:pos="0" w:val="left"/>
          <w:tab w:leader="none" w:pos="567" w:val="left"/>
        </w:tabs>
        <w:ind w:firstLine="851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>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«Интернет» http://rst.donland.ru, вступает в силу со дня его официального опубликования.</w:t>
      </w:r>
    </w:p>
    <w:p w14:paraId="14000000">
      <w:pPr>
        <w:ind w:firstLine="851" w:left="0"/>
        <w:jc w:val="both"/>
        <w:rPr>
          <w:b w:val="1"/>
          <w:color w:val="000000"/>
          <w:sz w:val="28"/>
        </w:rPr>
      </w:pPr>
    </w:p>
    <w:p w14:paraId="15000000">
      <w:pPr>
        <w:ind w:firstLine="851" w:left="0"/>
        <w:jc w:val="both"/>
        <w:rPr>
          <w:b w:val="1"/>
          <w:color w:val="000000"/>
          <w:sz w:val="28"/>
        </w:rPr>
      </w:pPr>
    </w:p>
    <w:p w14:paraId="16000000">
      <w:pPr>
        <w:ind w:firstLine="851" w:left="-567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Р</w:t>
      </w:r>
      <w:r>
        <w:rPr>
          <w:b w:val="1"/>
          <w:color w:val="000000"/>
          <w:sz w:val="28"/>
        </w:rPr>
        <w:t>уководител</w:t>
      </w:r>
      <w:r>
        <w:rPr>
          <w:b w:val="1"/>
          <w:color w:val="000000"/>
          <w:sz w:val="28"/>
        </w:rPr>
        <w:t>ь</w:t>
      </w:r>
      <w:r>
        <w:rPr>
          <w:b w:val="1"/>
          <w:color w:val="000000"/>
          <w:sz w:val="28"/>
        </w:rPr>
        <w:t xml:space="preserve"> </w:t>
      </w:r>
    </w:p>
    <w:p w14:paraId="17000000">
      <w:pPr>
        <w:ind w:firstLine="851" w:left="-567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Региональной службы по тарифам </w:t>
      </w:r>
    </w:p>
    <w:p w14:paraId="18000000">
      <w:pPr>
        <w:ind w:firstLine="851" w:left="-567"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Ростовской области                                                              </w:t>
      </w:r>
      <w:r>
        <w:rPr>
          <w:b w:val="1"/>
          <w:color w:val="000000"/>
          <w:sz w:val="28"/>
        </w:rPr>
        <w:t xml:space="preserve">       </w:t>
      </w:r>
      <w:r>
        <w:rPr>
          <w:b w:val="1"/>
          <w:color w:val="000000"/>
          <w:sz w:val="28"/>
        </w:rPr>
        <w:t xml:space="preserve">     </w:t>
      </w:r>
      <w:bookmarkStart w:id="2" w:name="RANGE!A1:B18"/>
      <w:bookmarkEnd w:id="2"/>
      <w:r>
        <w:rPr>
          <w:b w:val="1"/>
          <w:color w:val="000000"/>
          <w:sz w:val="28"/>
        </w:rPr>
        <w:t>А.В. Лукьянов</w:t>
      </w:r>
    </w:p>
    <w:p w14:paraId="19000000">
      <w:pPr>
        <w:ind w:firstLine="851" w:left="-567"/>
        <w:jc w:val="both"/>
        <w:rPr>
          <w:b w:val="1"/>
          <w:color w:val="000000"/>
          <w:sz w:val="28"/>
        </w:rPr>
      </w:pPr>
    </w:p>
    <w:p w14:paraId="1A000000">
      <w:pPr>
        <w:ind w:firstLine="851" w:left="-567"/>
        <w:jc w:val="both"/>
        <w:rPr>
          <w:b w:val="1"/>
          <w:color w:val="000000"/>
          <w:sz w:val="28"/>
        </w:rPr>
      </w:pPr>
    </w:p>
    <w:sectPr>
      <w:pgSz w:h="16838" w:orient="portrait" w:w="11906"/>
      <w:pgMar w:bottom="709" w:footer="709" w:gutter="0" w:header="709" w:left="993" w:right="70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450" w:left="1301"/>
      </w:pPr>
    </w:lvl>
    <w:lvl w:ilvl="1">
      <w:start w:val="1"/>
      <w:numFmt w:val="lowerLetter"/>
      <w:lvlText w:val="%2."/>
      <w:lvlJc w:val="left"/>
      <w:pPr>
        <w:ind w:hanging="360" w:left="1931"/>
      </w:pPr>
    </w:lvl>
    <w:lvl w:ilvl="2">
      <w:start w:val="1"/>
      <w:numFmt w:val="lowerRoman"/>
      <w:lvlText w:val="%3."/>
      <w:lvlJc w:val="right"/>
      <w:pPr>
        <w:ind w:hanging="180" w:left="2651"/>
      </w:pPr>
    </w:lvl>
    <w:lvl w:ilvl="3">
      <w:start w:val="1"/>
      <w:numFmt w:val="decimal"/>
      <w:lvlText w:val="%4."/>
      <w:lvlJc w:val="left"/>
      <w:pPr>
        <w:ind w:hanging="360" w:left="3371"/>
      </w:pPr>
    </w:lvl>
    <w:lvl w:ilvl="4">
      <w:start w:val="1"/>
      <w:numFmt w:val="lowerLetter"/>
      <w:lvlText w:val="%5."/>
      <w:lvlJc w:val="left"/>
      <w:pPr>
        <w:ind w:hanging="360" w:left="4091"/>
      </w:pPr>
    </w:lvl>
    <w:lvl w:ilvl="5">
      <w:start w:val="1"/>
      <w:numFmt w:val="lowerRoman"/>
      <w:lvlText w:val="%6."/>
      <w:lvlJc w:val="right"/>
      <w:pPr>
        <w:ind w:hanging="180" w:left="4811"/>
      </w:pPr>
    </w:lvl>
    <w:lvl w:ilvl="6">
      <w:start w:val="1"/>
      <w:numFmt w:val="decimal"/>
      <w:lvlText w:val="%7."/>
      <w:lvlJc w:val="left"/>
      <w:pPr>
        <w:ind w:hanging="360" w:left="5531"/>
      </w:pPr>
    </w:lvl>
    <w:lvl w:ilvl="7">
      <w:start w:val="1"/>
      <w:numFmt w:val="lowerLetter"/>
      <w:lvlText w:val="%8."/>
      <w:lvlJc w:val="left"/>
      <w:pPr>
        <w:ind w:hanging="360" w:left="6251"/>
      </w:pPr>
    </w:lvl>
    <w:lvl w:ilvl="8">
      <w:start w:val="1"/>
      <w:numFmt w:val="lowerRoman"/>
      <w:lvlText w:val="%9."/>
      <w:lvlJc w:val="right"/>
      <w:pPr>
        <w:ind w:hanging="180" w:left="6971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ConsPlusNormal"/>
    <w:link w:val="Style_7_ch"/>
    <w:pPr>
      <w:widowControl w:val="0"/>
      <w:ind w:firstLine="720" w:left="0"/>
    </w:pPr>
    <w:rPr>
      <w:rFonts w:ascii="Arial" w:hAnsi="Arial"/>
    </w:rPr>
  </w:style>
  <w:style w:styleId="Style_7_ch" w:type="character">
    <w:name w:val="ConsPlusNormal"/>
    <w:link w:val="Style_7"/>
    <w:rPr>
      <w:rFonts w:ascii="Arial" w:hAnsi="Arial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ConsTitle"/>
    <w:link w:val="Style_9_ch"/>
    <w:pPr>
      <w:widowControl w:val="0"/>
      <w:ind/>
    </w:pPr>
    <w:rPr>
      <w:rFonts w:ascii="Arial" w:hAnsi="Arial"/>
      <w:b w:val="1"/>
      <w:sz w:val="16"/>
    </w:rPr>
  </w:style>
  <w:style w:styleId="Style_9_ch" w:type="character">
    <w:name w:val="ConsTitle"/>
    <w:link w:val="Style_9"/>
    <w:rPr>
      <w:rFonts w:ascii="Arial" w:hAnsi="Arial"/>
      <w:b w:val="1"/>
      <w:sz w:val="16"/>
    </w:rPr>
  </w:style>
  <w:style w:styleId="Style_10" w:type="paragraph">
    <w:name w:val="ConsPlusTitle"/>
    <w:link w:val="Style_10_ch"/>
    <w:rPr>
      <w:b w:val="1"/>
      <w:sz w:val="24"/>
    </w:rPr>
  </w:style>
  <w:style w:styleId="Style_10_ch" w:type="character">
    <w:name w:val="ConsPlusTitle"/>
    <w:link w:val="Style_10"/>
    <w:rPr>
      <w:b w:val="1"/>
      <w:sz w:val="24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ConsPlusCell"/>
    <w:link w:val="Style_18_ch"/>
    <w:rPr>
      <w:sz w:val="28"/>
    </w:rPr>
  </w:style>
  <w:style w:styleId="Style_18_ch" w:type="character">
    <w:name w:val="ConsPlusCell"/>
    <w:link w:val="Style_18"/>
    <w:rPr>
      <w:sz w:val="28"/>
    </w:rPr>
  </w:style>
  <w:style w:styleId="Style_19" w:type="paragraph">
    <w:name w:val="toc 9"/>
    <w:next w:val="Style_1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Знак1 Знак Знак Знак"/>
    <w:basedOn w:val="Style_1"/>
    <w:link w:val="Style_21_ch"/>
    <w:pPr>
      <w:spacing w:afterAutospacing="on" w:beforeAutospacing="on"/>
      <w:ind/>
    </w:pPr>
    <w:rPr>
      <w:rFonts w:ascii="Tahoma" w:hAnsi="Tahoma"/>
      <w:sz w:val="20"/>
    </w:rPr>
  </w:style>
  <w:style w:styleId="Style_21_ch" w:type="character">
    <w:name w:val="Знак1 Знак Знак Знак"/>
    <w:basedOn w:val="Style_1_ch"/>
    <w:link w:val="Style_21"/>
    <w:rPr>
      <w:rFonts w:ascii="Tahoma" w:hAnsi="Tahoma"/>
      <w:sz w:val="20"/>
    </w:rPr>
  </w:style>
  <w:style w:styleId="Style_22" w:type="paragraph">
    <w:name w:val="Balloon Text"/>
    <w:basedOn w:val="Style_1"/>
    <w:link w:val="Style_22_ch"/>
    <w:rPr>
      <w:rFonts w:ascii="Tahoma" w:hAnsi="Tahoma"/>
      <w:sz w:val="16"/>
    </w:rPr>
  </w:style>
  <w:style w:styleId="Style_22_ch" w:type="character">
    <w:name w:val="Balloon Text"/>
    <w:basedOn w:val="Style_1_ch"/>
    <w:link w:val="Style_22"/>
    <w:rPr>
      <w:rFonts w:ascii="Tahoma" w:hAnsi="Tahoma"/>
      <w:sz w:val="16"/>
    </w:rPr>
  </w:style>
  <w:style w:styleId="Style_23" w:type="paragraph">
    <w:name w:val="toc 5"/>
    <w:next w:val="Style_1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Знак1 Знак Знак Знак"/>
    <w:basedOn w:val="Style_1"/>
    <w:link w:val="Style_24_ch"/>
    <w:pPr>
      <w:spacing w:afterAutospacing="on" w:beforeAutospacing="on"/>
      <w:ind/>
    </w:pPr>
    <w:rPr>
      <w:rFonts w:ascii="Tahoma" w:hAnsi="Tahoma"/>
      <w:sz w:val="20"/>
    </w:rPr>
  </w:style>
  <w:style w:styleId="Style_24_ch" w:type="character">
    <w:name w:val="Знак1 Знак Знак Знак"/>
    <w:basedOn w:val="Style_1_ch"/>
    <w:link w:val="Style_24"/>
    <w:rPr>
      <w:rFonts w:ascii="Tahoma" w:hAnsi="Tahoma"/>
      <w:sz w:val="20"/>
    </w:rPr>
  </w:style>
  <w:style w:styleId="Style_25" w:type="paragraph">
    <w:name w:val="Subtitle"/>
    <w:next w:val="Style_1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1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1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basedOn w:val="Style_1"/>
    <w:next w:val="Style_1"/>
    <w:link w:val="Style_28_ch"/>
    <w:uiPriority w:val="9"/>
    <w:qFormat/>
    <w:pPr>
      <w:keepNext w:val="1"/>
      <w:keepLines w:val="1"/>
      <w:spacing w:before="200" w:line="276" w:lineRule="auto"/>
      <w:ind/>
      <w:outlineLvl w:val="1"/>
    </w:pPr>
    <w:rPr>
      <w:b w:val="1"/>
    </w:rPr>
  </w:style>
  <w:style w:styleId="Style_28_ch" w:type="character">
    <w:name w:val="heading 2"/>
    <w:basedOn w:val="Style_1_ch"/>
    <w:link w:val="Style_28"/>
    <w:rPr>
      <w:b w:val="1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0" w:type="table">
    <w:name w:val="Table Grid"/>
    <w:basedOn w:val="Style_29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2024-10-31T06:27:05Z</dcterms:modified>
</cp:coreProperties>
</file>