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460"/>
        <w:gridCol w:w="3065"/>
      </w:tblGrid>
      <w:tr>
        <w:trPr>
          <w:trHeight w:hRule="atLeast" w:val="1135"/>
        </w:trPr>
        <w:tc>
          <w:tcPr>
            <w:tcW w:type="dxa" w:w="6460"/>
          </w:tcPr>
          <w:p w14:paraId="01000000">
            <w:pPr>
              <w:ind w:right="-55"/>
              <w:rPr>
                <w:color w:val="000000"/>
              </w:rPr>
            </w:pPr>
          </w:p>
        </w:tc>
        <w:tc>
          <w:tcPr>
            <w:tcW w:type="dxa" w:w="3065"/>
          </w:tcPr>
          <w:p w14:paraId="02000000">
            <w:pPr>
              <w:ind w:firstLine="0" w:left="-357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Приложение № </w:t>
            </w:r>
            <w:r>
              <w:rPr>
                <w:color w:val="000000"/>
                <w:sz w:val="20"/>
              </w:rPr>
              <w:t>30</w:t>
            </w:r>
          </w:p>
          <w:p w14:paraId="03000000">
            <w:pPr>
              <w:ind w:firstLine="0" w:left="-357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 протоколу заседания Правления</w:t>
            </w:r>
          </w:p>
          <w:p w14:paraId="04000000">
            <w:pPr>
              <w:ind w:firstLine="0" w:left="-357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Региональной службы по тарифам</w:t>
            </w:r>
          </w:p>
          <w:p w14:paraId="05000000">
            <w:pPr>
              <w:ind w:firstLine="0" w:left="-357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Ростовской области</w:t>
            </w:r>
          </w:p>
          <w:p w14:paraId="06000000">
            <w:pPr>
              <w:ind w:firstLine="0" w:left="-357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от </w:t>
            </w:r>
            <w:r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9</w:t>
            </w:r>
            <w:r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.20</w:t>
            </w:r>
            <w:r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</w:rPr>
              <w:t xml:space="preserve"> № </w:t>
            </w:r>
            <w:r>
              <w:rPr>
                <w:color w:val="000000"/>
                <w:sz w:val="20"/>
              </w:rPr>
              <w:t>66</w:t>
            </w:r>
            <w:r>
              <w:rPr>
                <w:color w:val="000000"/>
                <w:sz w:val="20"/>
              </w:rPr>
              <w:t xml:space="preserve"> </w:t>
            </w:r>
          </w:p>
          <w:p w14:paraId="07000000">
            <w:pPr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</w:tr>
    </w:tbl>
    <w:p w14:paraId="08000000">
      <w:pPr>
        <w:ind/>
        <w:jc w:val="center"/>
        <w:rPr>
          <w:b w:val="1"/>
          <w:sz w:val="20"/>
        </w:rPr>
      </w:pPr>
    </w:p>
    <w:p w14:paraId="09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723900" cy="7239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23900" cy="7239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spacing w:line="276" w:lineRule="auto"/>
        <w:ind/>
        <w:jc w:val="center"/>
        <w:rPr>
          <w:b w:val="1"/>
          <w:sz w:val="22"/>
        </w:rPr>
      </w:pPr>
    </w:p>
    <w:p w14:paraId="0B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D000000">
      <w:pPr>
        <w:ind/>
        <w:jc w:val="center"/>
        <w:rPr>
          <w:b w:val="1"/>
          <w:sz w:val="22"/>
        </w:rPr>
      </w:pPr>
    </w:p>
    <w:p w14:paraId="0E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F000000">
      <w:pPr>
        <w:pStyle w:val="Style_2"/>
        <w:widowControl w:val="1"/>
        <w:spacing w:line="276" w:lineRule="auto"/>
        <w:ind/>
        <w:jc w:val="center"/>
        <w:rPr>
          <w:rFonts w:ascii="Times New Roman" w:hAnsi="Times New Roman"/>
          <w:b w:val="0"/>
          <w:sz w:val="22"/>
        </w:rPr>
      </w:pPr>
    </w:p>
    <w:p w14:paraId="10000000">
      <w:pPr>
        <w:pStyle w:val="Style_2"/>
        <w:widowControl w:val="1"/>
        <w:spacing w:line="276" w:lineRule="auto"/>
        <w:ind/>
        <w:jc w:val="center"/>
        <w:rPr>
          <w:rFonts w:ascii="Times New Roman" w:hAnsi="Times New Roman"/>
          <w:b w:val="0"/>
          <w:sz w:val="22"/>
        </w:rPr>
      </w:pPr>
    </w:p>
    <w:p w14:paraId="11000000">
      <w:pPr>
        <w:ind w:firstLine="540" w:left="0" w:right="665"/>
        <w:jc w:val="center"/>
        <w:rPr>
          <w:color w:val="000000"/>
          <w:sz w:val="28"/>
        </w:rPr>
      </w:pPr>
      <w:r>
        <w:rPr>
          <w:color w:val="000000"/>
          <w:sz w:val="28"/>
        </w:rPr>
        <w:t>1</w:t>
      </w:r>
      <w:r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>12</w:t>
      </w:r>
      <w:r>
        <w:rPr>
          <w:color w:val="000000"/>
          <w:sz w:val="28"/>
        </w:rPr>
        <w:t>.20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5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>г. Ростов-на-Дону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742</w:t>
      </w:r>
    </w:p>
    <w:p w14:paraId="12000000">
      <w:pPr>
        <w:ind/>
        <w:jc w:val="center"/>
        <w:rPr>
          <w:b w:val="1"/>
          <w:color w:val="000000"/>
          <w:sz w:val="26"/>
        </w:rPr>
      </w:pPr>
    </w:p>
    <w:p w14:paraId="13000000">
      <w:pPr>
        <w:ind/>
        <w:jc w:val="center"/>
        <w:rPr>
          <w:b w:val="1"/>
          <w:color w:val="000000"/>
          <w:sz w:val="26"/>
        </w:rPr>
      </w:pPr>
    </w:p>
    <w:p w14:paraId="14000000">
      <w:pPr>
        <w:ind/>
        <w:jc w:val="center"/>
        <w:rPr>
          <w:b w:val="1"/>
          <w:color w:val="000000"/>
          <w:sz w:val="26"/>
        </w:rPr>
      </w:pPr>
    </w:p>
    <w:p w14:paraId="15000000">
      <w:pPr>
        <w:ind/>
        <w:jc w:val="center"/>
        <w:rPr>
          <w:b w:val="1"/>
          <w:sz w:val="28"/>
        </w:rPr>
      </w:pPr>
      <w:r>
        <w:rPr>
          <w:b w:val="1"/>
          <w:color w:val="000000"/>
          <w:sz w:val="28"/>
        </w:rPr>
        <w:t xml:space="preserve">Об установлении </w:t>
      </w:r>
      <w:r>
        <w:rPr>
          <w:b w:val="1"/>
          <w:sz w:val="28"/>
        </w:rPr>
        <w:t>един</w:t>
      </w:r>
      <w:r>
        <w:rPr>
          <w:b w:val="1"/>
          <w:sz w:val="28"/>
        </w:rPr>
        <w:t>ых</w:t>
      </w:r>
      <w:r>
        <w:rPr>
          <w:b w:val="1"/>
          <w:sz w:val="28"/>
        </w:rPr>
        <w:t xml:space="preserve"> т</w:t>
      </w:r>
      <w:r>
        <w:rPr>
          <w:b w:val="1"/>
          <w:sz w:val="28"/>
        </w:rPr>
        <w:t>ариф</w:t>
      </w:r>
      <w:r>
        <w:rPr>
          <w:b w:val="1"/>
          <w:sz w:val="28"/>
        </w:rPr>
        <w:t>ов</w:t>
      </w:r>
      <w:r>
        <w:rPr>
          <w:b w:val="1"/>
          <w:sz w:val="28"/>
        </w:rPr>
        <w:t xml:space="preserve"> на услугу </w:t>
      </w:r>
      <w:r>
        <w:rPr>
          <w:b w:val="1"/>
          <w:sz w:val="28"/>
        </w:rPr>
        <w:t>регионального</w:t>
      </w:r>
    </w:p>
    <w:p w14:paraId="1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оператора </w:t>
      </w:r>
      <w:r>
        <w:rPr>
          <w:b w:val="1"/>
          <w:sz w:val="28"/>
        </w:rPr>
        <w:t>по</w:t>
      </w:r>
      <w:r>
        <w:rPr>
          <w:b w:val="1"/>
          <w:sz w:val="28"/>
        </w:rPr>
        <w:t xml:space="preserve"> обращени</w:t>
      </w:r>
      <w:r>
        <w:rPr>
          <w:b w:val="1"/>
          <w:sz w:val="28"/>
        </w:rPr>
        <w:t>ю</w:t>
      </w:r>
      <w:r>
        <w:rPr>
          <w:b w:val="1"/>
          <w:sz w:val="28"/>
        </w:rPr>
        <w:t xml:space="preserve"> с твердыми коммунальными отходами ООО</w:t>
      </w:r>
      <w:r>
        <w:rPr>
          <w:b w:val="1"/>
          <w:sz w:val="28"/>
        </w:rPr>
        <w:t> </w:t>
      </w:r>
      <w:r>
        <w:rPr>
          <w:b w:val="1"/>
          <w:sz w:val="28"/>
        </w:rPr>
        <w:t>«</w:t>
      </w:r>
      <w:r>
        <w:rPr>
          <w:b w:val="1"/>
          <w:sz w:val="28"/>
        </w:rPr>
        <w:t>Эко</w:t>
      </w:r>
      <w:r>
        <w:rPr>
          <w:b w:val="1"/>
          <w:sz w:val="28"/>
        </w:rPr>
        <w:t>Ц</w:t>
      </w:r>
      <w:r>
        <w:rPr>
          <w:b w:val="1"/>
          <w:sz w:val="28"/>
        </w:rPr>
        <w:t>ентр</w:t>
      </w:r>
      <w:r>
        <w:rPr>
          <w:b w:val="1"/>
          <w:sz w:val="28"/>
        </w:rPr>
        <w:t>»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(ИНН </w:t>
      </w:r>
      <w:r>
        <w:rPr>
          <w:b w:val="1"/>
          <w:sz w:val="28"/>
        </w:rPr>
        <w:t>3444177534</w:t>
      </w:r>
      <w:r>
        <w:rPr>
          <w:b w:val="1"/>
          <w:sz w:val="28"/>
        </w:rPr>
        <w:t>)</w:t>
      </w:r>
      <w:r>
        <w:rPr>
          <w:b w:val="1"/>
          <w:sz w:val="28"/>
        </w:rPr>
        <w:t xml:space="preserve"> в зоне деятельности </w:t>
      </w:r>
      <w:r>
        <w:rPr>
          <w:b w:val="1"/>
          <w:sz w:val="28"/>
        </w:rPr>
        <w:t>Красносулинс</w:t>
      </w:r>
      <w:r>
        <w:rPr>
          <w:b w:val="1"/>
          <w:sz w:val="28"/>
        </w:rPr>
        <w:t>кого</w:t>
      </w:r>
      <w:r>
        <w:rPr>
          <w:b w:val="1"/>
          <w:sz w:val="28"/>
        </w:rPr>
        <w:t xml:space="preserve"> </w:t>
      </w:r>
      <w:r>
        <w:rPr>
          <w:b w:val="1"/>
          <w:color w:val="000000"/>
          <w:sz w:val="28"/>
          <w:highlight w:val="white"/>
        </w:rPr>
        <w:t xml:space="preserve">межмуниципального экологического </w:t>
      </w:r>
      <w:r>
        <w:rPr>
          <w:b w:val="1"/>
          <w:color w:val="000000"/>
          <w:sz w:val="28"/>
          <w:highlight w:val="white"/>
        </w:rPr>
        <w:t>отходоперерабатывающего</w:t>
      </w:r>
      <w:r>
        <w:rPr>
          <w:b w:val="1"/>
          <w:color w:val="000000"/>
          <w:sz w:val="28"/>
          <w:highlight w:val="white"/>
        </w:rPr>
        <w:t xml:space="preserve"> комплекса</w:t>
      </w:r>
      <w:r>
        <w:rPr>
          <w:b w:val="1"/>
          <w:color w:val="000000"/>
          <w:sz w:val="28"/>
          <w:highlight w:val="white"/>
        </w:rPr>
        <w:t xml:space="preserve"> </w:t>
      </w:r>
      <w:r>
        <w:rPr>
          <w:b w:val="1"/>
          <w:color w:val="000000"/>
          <w:sz w:val="28"/>
          <w:highlight w:val="white"/>
        </w:rPr>
        <w:t>на 2026-2028 годы</w:t>
      </w:r>
    </w:p>
    <w:p w14:paraId="17000000">
      <w:pPr>
        <w:pStyle w:val="Style_3"/>
        <w:ind w:firstLine="540" w:left="0"/>
        <w:jc w:val="center"/>
        <w:rPr>
          <w:sz w:val="22"/>
        </w:rPr>
      </w:pPr>
    </w:p>
    <w:p w14:paraId="18000000">
      <w:pPr>
        <w:ind w:firstLine="709" w:left="0"/>
        <w:jc w:val="both"/>
        <w:rPr>
          <w:b w:val="1"/>
          <w:sz w:val="28"/>
        </w:rPr>
      </w:pPr>
      <w:r>
        <w:rPr>
          <w:sz w:val="28"/>
        </w:rPr>
        <w:t>В соответствии с Федеральным законом от 24.06.1998 № 89-ФЗ «Об отходах производства и потребления», постановлением Правительства Российской Федерации от 30.05.2016 № 484 «О ценообразовании в области обращения с твердыми коммунальными отходами»,</w:t>
      </w:r>
      <w:r>
        <w:rPr>
          <w:sz w:val="28"/>
        </w:rPr>
        <w:t xml:space="preserve"> </w:t>
      </w:r>
      <w:r>
        <w:rPr>
          <w:sz w:val="28"/>
        </w:rPr>
        <w:t>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r>
        <w:rPr>
          <w:sz w:val="28"/>
        </w:rPr>
        <w:t>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14:paraId="19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постановляет:</w:t>
      </w:r>
    </w:p>
    <w:p w14:paraId="1A000000">
      <w:pPr>
        <w:pStyle w:val="Style_3"/>
        <w:ind w:firstLine="0" w:left="0"/>
        <w:jc w:val="center"/>
        <w:rPr>
          <w:rFonts w:ascii="Times New Roman" w:hAnsi="Times New Roman"/>
          <w:sz w:val="22"/>
        </w:rPr>
      </w:pPr>
    </w:p>
    <w:p w14:paraId="1B000000">
      <w:pPr>
        <w:pStyle w:val="Style_4"/>
        <w:numPr>
          <w:ilvl w:val="0"/>
          <w:numId w:val="1"/>
        </w:numPr>
        <w:tabs>
          <w:tab w:leader="none" w:pos="993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Установить </w:t>
      </w:r>
      <w:r>
        <w:rPr>
          <w:sz w:val="28"/>
        </w:rPr>
        <w:t xml:space="preserve">предельные </w:t>
      </w:r>
      <w:r>
        <w:rPr>
          <w:sz w:val="28"/>
        </w:rPr>
        <w:t>едины</w:t>
      </w:r>
      <w:r>
        <w:rPr>
          <w:sz w:val="28"/>
        </w:rPr>
        <w:t>е</w:t>
      </w:r>
      <w:r>
        <w:rPr>
          <w:sz w:val="28"/>
        </w:rPr>
        <w:t xml:space="preserve"> тариф</w:t>
      </w:r>
      <w:r>
        <w:rPr>
          <w:sz w:val="28"/>
        </w:rPr>
        <w:t>ы</w:t>
      </w:r>
      <w:r>
        <w:rPr>
          <w:sz w:val="28"/>
        </w:rPr>
        <w:t xml:space="preserve"> </w:t>
      </w:r>
      <w:r>
        <w:rPr>
          <w:sz w:val="28"/>
        </w:rPr>
        <w:t xml:space="preserve">на услугу </w:t>
      </w:r>
      <w:r>
        <w:rPr>
          <w:sz w:val="28"/>
        </w:rPr>
        <w:t>регионального оператора</w:t>
      </w:r>
      <w:r>
        <w:rPr>
          <w:sz w:val="28"/>
        </w:rPr>
        <w:t xml:space="preserve"> по</w:t>
      </w:r>
      <w:r>
        <w:rPr>
          <w:sz w:val="28"/>
        </w:rPr>
        <w:t xml:space="preserve"> обращени</w:t>
      </w:r>
      <w:r>
        <w:rPr>
          <w:sz w:val="28"/>
        </w:rPr>
        <w:t>ю</w:t>
      </w:r>
      <w:r>
        <w:rPr>
          <w:sz w:val="28"/>
        </w:rPr>
        <w:t xml:space="preserve"> с твердыми коммунальными отходами </w:t>
      </w:r>
      <w:r>
        <w:rPr>
          <w:sz w:val="28"/>
        </w:rPr>
        <w:t>ООО «</w:t>
      </w:r>
      <w:r>
        <w:rPr>
          <w:sz w:val="28"/>
        </w:rPr>
        <w:t>Эко</w:t>
      </w:r>
      <w:r>
        <w:rPr>
          <w:sz w:val="28"/>
        </w:rPr>
        <w:t>Ц</w:t>
      </w:r>
      <w:r>
        <w:rPr>
          <w:sz w:val="28"/>
        </w:rPr>
        <w:t>ентр</w:t>
      </w:r>
      <w:r>
        <w:rPr>
          <w:sz w:val="28"/>
        </w:rPr>
        <w:t>» (</w:t>
      </w:r>
      <w:r>
        <w:rPr>
          <w:sz w:val="28"/>
        </w:rPr>
        <w:t xml:space="preserve">ИНН </w:t>
      </w:r>
      <w:r>
        <w:rPr>
          <w:sz w:val="28"/>
        </w:rPr>
        <w:t>3444177534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 xml:space="preserve">в зоне деятельности </w:t>
      </w:r>
      <w:r>
        <w:rPr>
          <w:sz w:val="28"/>
        </w:rPr>
        <w:t>Красносулинского</w:t>
      </w:r>
      <w:r>
        <w:rPr>
          <w:sz w:val="28"/>
        </w:rPr>
        <w:t xml:space="preserve"> </w:t>
      </w:r>
      <w:r>
        <w:rPr>
          <w:color w:val="000000"/>
          <w:sz w:val="28"/>
          <w:highlight w:val="white"/>
        </w:rPr>
        <w:t xml:space="preserve">межмуниципального экологического </w:t>
      </w:r>
      <w:r>
        <w:rPr>
          <w:color w:val="000000"/>
          <w:sz w:val="28"/>
          <w:highlight w:val="white"/>
        </w:rPr>
        <w:t>отходоперерабатывающего</w:t>
      </w:r>
      <w:r>
        <w:rPr>
          <w:color w:val="000000"/>
          <w:sz w:val="28"/>
          <w:highlight w:val="white"/>
        </w:rPr>
        <w:t xml:space="preserve"> комплекса</w:t>
      </w:r>
      <w:r>
        <w:rPr>
          <w:sz w:val="28"/>
        </w:rPr>
        <w:t xml:space="preserve"> согласно приложению к постановлению.</w:t>
      </w:r>
    </w:p>
    <w:p w14:paraId="1C000000">
      <w:pPr>
        <w:pStyle w:val="Style_4"/>
        <w:ind w:firstLine="709" w:left="0"/>
        <w:jc w:val="both"/>
        <w:rPr>
          <w:sz w:val="28"/>
        </w:rPr>
      </w:pPr>
      <w:r>
        <w:rPr>
          <w:color w:themeColor="text1" w:val="000000"/>
          <w:sz w:val="28"/>
        </w:rPr>
        <w:t xml:space="preserve">2. </w:t>
      </w:r>
      <w:r>
        <w:rPr>
          <w:sz w:val="28"/>
        </w:rPr>
        <w:t>Тарифы</w:t>
      </w:r>
      <w:r>
        <w:rPr>
          <w:color w:themeColor="text1" w:val="000000"/>
          <w:sz w:val="28"/>
        </w:rPr>
        <w:t xml:space="preserve">, </w:t>
      </w:r>
      <w:r>
        <w:rPr>
          <w:sz w:val="28"/>
        </w:rPr>
        <w:t>установленные в пункте 1 постановления, действуют с 1 января 202</w:t>
      </w:r>
      <w:r>
        <w:rPr>
          <w:sz w:val="28"/>
        </w:rPr>
        <w:t>6</w:t>
      </w:r>
      <w:r>
        <w:rPr>
          <w:sz w:val="28"/>
        </w:rPr>
        <w:t xml:space="preserve"> года по 31 декабря 202</w:t>
      </w:r>
      <w:r>
        <w:rPr>
          <w:sz w:val="28"/>
        </w:rPr>
        <w:t>8</w:t>
      </w:r>
      <w:r>
        <w:rPr>
          <w:sz w:val="28"/>
        </w:rPr>
        <w:t xml:space="preserve"> года.</w:t>
      </w:r>
    </w:p>
    <w:p w14:paraId="1D000000">
      <w:pPr>
        <w:pStyle w:val="Style_4"/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 xml:space="preserve">Постановление подлежит официальному опубликованию, размещению на официальном сайте Региональной службы по тарифам Ростовской области </w:t>
      </w:r>
      <w:r>
        <w:rPr>
          <w:sz w:val="28"/>
        </w:rPr>
        <w:t xml:space="preserve">в информационно-телекоммуникационной сети </w:t>
      </w:r>
      <w:r>
        <w:rPr>
          <w:sz w:val="28"/>
        </w:rPr>
        <w:t>«</w:t>
      </w:r>
      <w:r>
        <w:rPr>
          <w:sz w:val="28"/>
        </w:rPr>
        <w:t>Интернет</w:t>
      </w:r>
      <w:r>
        <w:rPr>
          <w:sz w:val="28"/>
        </w:rPr>
        <w:t>»</w:t>
      </w:r>
      <w:r>
        <w:rPr>
          <w:sz w:val="28"/>
        </w:rPr>
        <w:t xml:space="preserve"> </w:t>
      </w:r>
      <w:bookmarkStart w:id="1" w:name="_GoBack"/>
      <w:bookmarkEnd w:id="1"/>
      <w:r>
        <w:rPr>
          <w:sz w:val="28"/>
        </w:rPr>
        <w:t>http://rst.donland.ru</w:t>
      </w:r>
      <w:r>
        <w:rPr>
          <w:sz w:val="28"/>
        </w:rPr>
        <w:t xml:space="preserve"> и вступает в силу со дня его официального опубликования.</w:t>
      </w:r>
    </w:p>
    <w:p w14:paraId="1E000000">
      <w:pPr>
        <w:widowControl w:val="0"/>
        <w:tabs>
          <w:tab w:leader="none" w:pos="979" w:val="left"/>
        </w:tabs>
        <w:ind w:firstLine="709" w:left="0"/>
        <w:jc w:val="both"/>
        <w:rPr>
          <w:color w:val="000000"/>
          <w:spacing w:val="-10"/>
        </w:rPr>
      </w:pPr>
    </w:p>
    <w:p w14:paraId="1F000000">
      <w:pPr>
        <w:widowControl w:val="0"/>
        <w:tabs>
          <w:tab w:leader="none" w:pos="979" w:val="left"/>
        </w:tabs>
        <w:ind w:firstLine="709" w:left="0"/>
        <w:jc w:val="both"/>
        <w:rPr>
          <w:color w:val="000000"/>
          <w:spacing w:val="-10"/>
          <w:sz w:val="28"/>
        </w:rPr>
      </w:pPr>
    </w:p>
    <w:p w14:paraId="20000000">
      <w:pPr>
        <w:widowControl w:val="0"/>
        <w:tabs>
          <w:tab w:leader="none" w:pos="979" w:val="left"/>
        </w:tabs>
        <w:ind w:firstLine="709" w:left="0"/>
        <w:jc w:val="both"/>
        <w:rPr>
          <w:color w:val="000000"/>
          <w:spacing w:val="-10"/>
          <w:sz w:val="28"/>
        </w:rPr>
      </w:pPr>
    </w:p>
    <w:p w14:paraId="21000000">
      <w:pPr>
        <w:widowControl w:val="0"/>
        <w:tabs>
          <w:tab w:leader="none" w:pos="979" w:val="left"/>
        </w:tabs>
        <w:ind w:firstLine="709" w:left="0"/>
        <w:jc w:val="both"/>
        <w:rPr>
          <w:color w:val="000000"/>
          <w:spacing w:val="-10"/>
          <w:sz w:val="28"/>
        </w:rPr>
      </w:pPr>
    </w:p>
    <w:p w14:paraId="22000000">
      <w:pPr>
        <w:widowControl w:val="0"/>
        <w:tabs>
          <w:tab w:leader="none" w:pos="979" w:val="left"/>
        </w:tabs>
        <w:ind w:firstLine="709" w:left="0"/>
        <w:jc w:val="both"/>
        <w:rPr>
          <w:color w:val="000000"/>
          <w:spacing w:val="-10"/>
          <w:sz w:val="28"/>
        </w:rPr>
      </w:pPr>
    </w:p>
    <w:p w14:paraId="23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</w:t>
      </w:r>
      <w:r>
        <w:rPr>
          <w:rFonts w:ascii="Times New Roman" w:hAnsi="Times New Roman"/>
          <w:b w:val="1"/>
          <w:sz w:val="28"/>
        </w:rPr>
        <w:t>уководител</w:t>
      </w:r>
      <w:r>
        <w:rPr>
          <w:rFonts w:ascii="Times New Roman" w:hAnsi="Times New Roman"/>
          <w:b w:val="1"/>
          <w:sz w:val="28"/>
        </w:rPr>
        <w:t>ь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24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Региональной службы по тарифам </w:t>
      </w:r>
    </w:p>
    <w:p w14:paraId="25000000">
      <w:pPr>
        <w:pStyle w:val="Style_3"/>
        <w:ind w:firstLine="0" w:left="0"/>
        <w:jc w:val="both"/>
        <w:rPr>
          <w:color w:val="000000"/>
          <w:sz w:val="16"/>
        </w:rPr>
      </w:pPr>
      <w:r>
        <w:rPr>
          <w:rFonts w:ascii="Times New Roman" w:hAnsi="Times New Roman"/>
          <w:b w:val="1"/>
          <w:sz w:val="28"/>
        </w:rPr>
        <w:t xml:space="preserve">Ростовской области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>А</w:t>
      </w:r>
      <w:r>
        <w:rPr>
          <w:rFonts w:ascii="Times New Roman" w:hAnsi="Times New Roman"/>
          <w:b w:val="1"/>
          <w:sz w:val="28"/>
        </w:rPr>
        <w:t xml:space="preserve">.В. </w:t>
      </w:r>
      <w:r>
        <w:rPr>
          <w:rFonts w:ascii="Times New Roman" w:hAnsi="Times New Roman"/>
          <w:b w:val="1"/>
          <w:sz w:val="28"/>
        </w:rPr>
        <w:t>Лукьянов</w:t>
      </w:r>
    </w:p>
    <w:sectPr>
      <w:pgSz w:h="16838" w:orient="portrait" w:w="11906"/>
      <w:pgMar w:bottom="1276" w:footer="720" w:gutter="0" w:header="720" w:left="1701" w:right="680" w:top="12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069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2"/>
    <w:next w:val="Style_5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footer"/>
    <w:basedOn w:val="Style_5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5_ch"/>
    <w:link w:val="Style_11"/>
  </w:style>
  <w:style w:styleId="Style_12" w:type="paragraph">
    <w:name w:val="ConsPlusTitle"/>
    <w:link w:val="Style_12_ch"/>
    <w:rPr>
      <w:rFonts w:ascii="Arial" w:hAnsi="Arial"/>
      <w:b w:val="1"/>
    </w:rPr>
  </w:style>
  <w:style w:styleId="Style_12_ch" w:type="character">
    <w:name w:val="ConsPlusTitle"/>
    <w:link w:val="Style_12"/>
    <w:rPr>
      <w:rFonts w:ascii="Arial" w:hAnsi="Arial"/>
      <w:b w:val="1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Balloon Text"/>
    <w:basedOn w:val="Style_5"/>
    <w:link w:val="Style_14_ch"/>
    <w:rPr>
      <w:rFonts w:ascii="Tahoma" w:hAnsi="Tahoma"/>
      <w:sz w:val="16"/>
    </w:rPr>
  </w:style>
  <w:style w:styleId="Style_14_ch" w:type="character">
    <w:name w:val="Balloon Text"/>
    <w:basedOn w:val="Style_5_ch"/>
    <w:link w:val="Style_14"/>
    <w:rPr>
      <w:rFonts w:ascii="Tahoma" w:hAnsi="Tahoma"/>
      <w:sz w:val="16"/>
    </w:rPr>
  </w:style>
  <w:style w:styleId="Style_15" w:type="paragraph">
    <w:name w:val="header"/>
    <w:basedOn w:val="Style_5"/>
    <w:link w:val="Style_15_ch"/>
    <w:pPr>
      <w:tabs>
        <w:tab w:leader="none" w:pos="4677" w:val="center"/>
        <w:tab w:leader="none" w:pos="9355" w:val="right"/>
      </w:tabs>
      <w:ind/>
    </w:pPr>
  </w:style>
  <w:style w:styleId="Style_15_ch" w:type="character">
    <w:name w:val="header"/>
    <w:basedOn w:val="Style_5_ch"/>
    <w:link w:val="Style_15"/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16" w:type="paragraph">
    <w:name w:val="toc 3"/>
    <w:next w:val="Style_5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Font Style14"/>
    <w:link w:val="Style_17_ch"/>
    <w:rPr>
      <w:rFonts w:ascii="Times New Roman" w:hAnsi="Times New Roman"/>
      <w:sz w:val="26"/>
    </w:rPr>
  </w:style>
  <w:style w:styleId="Style_17_ch" w:type="character">
    <w:name w:val="Font Style14"/>
    <w:link w:val="Style_17"/>
    <w:rPr>
      <w:rFonts w:ascii="Times New Roman" w:hAnsi="Times New Roman"/>
      <w:sz w:val="26"/>
    </w:rPr>
  </w:style>
  <w:style w:styleId="Style_18" w:type="paragraph">
    <w:name w:val="Body Text Indent"/>
    <w:basedOn w:val="Style_5"/>
    <w:link w:val="Style_18_ch"/>
    <w:pPr>
      <w:spacing w:after="120"/>
      <w:ind w:firstLine="0" w:left="283"/>
    </w:pPr>
  </w:style>
  <w:style w:styleId="Style_18_ch" w:type="character">
    <w:name w:val="Body Text Indent"/>
    <w:basedOn w:val="Style_5_ch"/>
    <w:link w:val="Style_18"/>
  </w:style>
  <w:style w:styleId="Style_19" w:type="paragraph">
    <w:name w:val="Unresolved Mention"/>
    <w:basedOn w:val="Style_6"/>
    <w:link w:val="Style_19_ch"/>
    <w:rPr>
      <w:color w:val="605E5C"/>
      <w:shd w:fill="E1DFDD" w:val="clear"/>
    </w:rPr>
  </w:style>
  <w:style w:styleId="Style_19_ch" w:type="character">
    <w:name w:val="Unresolved Mention"/>
    <w:basedOn w:val="Style_6_ch"/>
    <w:link w:val="Style_19"/>
    <w:rPr>
      <w:color w:val="605E5C"/>
      <w:shd w:fill="E1DFDD" w:val="clear"/>
    </w:rPr>
  </w:style>
  <w:style w:styleId="Style_4" w:type="paragraph">
    <w:name w:val="List Paragraph"/>
    <w:basedOn w:val="Style_5"/>
    <w:link w:val="Style_4_ch"/>
    <w:pPr>
      <w:ind w:firstLine="0" w:left="720"/>
      <w:contextualSpacing w:val="1"/>
    </w:pPr>
  </w:style>
  <w:style w:styleId="Style_4_ch" w:type="character">
    <w:name w:val="List Paragraph"/>
    <w:basedOn w:val="Style_5_ch"/>
    <w:link w:val="Style_4"/>
  </w:style>
  <w:style w:styleId="Style_20" w:type="paragraph">
    <w:name w:val="heading 5"/>
    <w:next w:val="Style_5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5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Знак"/>
    <w:basedOn w:val="Style_5"/>
    <w:link w:val="Style_22_ch"/>
    <w:pPr>
      <w:spacing w:afterAutospacing="on" w:beforeAutospacing="on"/>
      <w:ind/>
    </w:pPr>
    <w:rPr>
      <w:rFonts w:ascii="Tahoma" w:hAnsi="Tahoma"/>
      <w:sz w:val="20"/>
    </w:rPr>
  </w:style>
  <w:style w:styleId="Style_22_ch" w:type="character">
    <w:name w:val="Знак"/>
    <w:basedOn w:val="Style_5_ch"/>
    <w:link w:val="Style_22"/>
    <w:rPr>
      <w:rFonts w:ascii="Tahoma" w:hAnsi="Tahoma"/>
      <w:sz w:val="20"/>
    </w:rPr>
  </w:style>
  <w:style w:styleId="Style_23" w:type="paragraph">
    <w:name w:val="Hyperlink"/>
    <w:basedOn w:val="Style_6"/>
    <w:link w:val="Style_23_ch"/>
    <w:rPr>
      <w:color w:themeColor="hyperlink" w:val="0563C1"/>
      <w:u w:val="single"/>
    </w:rPr>
  </w:style>
  <w:style w:styleId="Style_23_ch" w:type="character">
    <w:name w:val="Hyperlink"/>
    <w:basedOn w:val="Style_6_ch"/>
    <w:link w:val="Style_23"/>
    <w:rPr>
      <w:color w:themeColor="hyperlink" w:val="0563C1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5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Знак"/>
    <w:basedOn w:val="Style_5"/>
    <w:link w:val="Style_26_ch"/>
    <w:pPr>
      <w:spacing w:afterAutospacing="on" w:beforeAutospacing="on"/>
      <w:ind/>
    </w:pPr>
    <w:rPr>
      <w:rFonts w:ascii="Tahoma" w:hAnsi="Tahoma"/>
      <w:sz w:val="20"/>
    </w:rPr>
  </w:style>
  <w:style w:styleId="Style_26_ch" w:type="character">
    <w:name w:val="Знак"/>
    <w:basedOn w:val="Style_5_ch"/>
    <w:link w:val="Style_26"/>
    <w:rPr>
      <w:rFonts w:ascii="Tahoma" w:hAnsi="Tahoma"/>
      <w:sz w:val="20"/>
    </w:rPr>
  </w:style>
  <w:style w:styleId="Style_27" w:type="paragraph">
    <w:name w:val="Знак1 Знак Знак Знак"/>
    <w:basedOn w:val="Style_5"/>
    <w:link w:val="Style_27_ch"/>
    <w:pPr>
      <w:spacing w:afterAutospacing="on" w:beforeAutospacing="on"/>
      <w:ind/>
    </w:pPr>
    <w:rPr>
      <w:rFonts w:ascii="Tahoma" w:hAnsi="Tahoma"/>
      <w:sz w:val="20"/>
    </w:rPr>
  </w:style>
  <w:style w:styleId="Style_27_ch" w:type="character">
    <w:name w:val="Знак1 Знак Знак Знак"/>
    <w:basedOn w:val="Style_5_ch"/>
    <w:link w:val="Style_27"/>
    <w:rPr>
      <w:rFonts w:ascii="Tahoma" w:hAnsi="Tahoma"/>
      <w:sz w:val="20"/>
    </w:rPr>
  </w:style>
  <w:style w:styleId="Style_28" w:type="paragraph">
    <w:name w:val="Font Style11"/>
    <w:link w:val="Style_28_ch"/>
    <w:rPr>
      <w:rFonts w:ascii="Times New Roman" w:hAnsi="Times New Roman"/>
      <w:b w:val="1"/>
      <w:sz w:val="26"/>
    </w:rPr>
  </w:style>
  <w:style w:styleId="Style_28_ch" w:type="character">
    <w:name w:val="Font Style11"/>
    <w:link w:val="Style_28"/>
    <w:rPr>
      <w:rFonts w:ascii="Times New Roman" w:hAnsi="Times New Roman"/>
      <w:b w:val="1"/>
      <w:sz w:val="26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0"/>
    </w:rPr>
  </w:style>
  <w:style w:styleId="Style_29_ch" w:type="character">
    <w:name w:val="Header and Footer"/>
    <w:link w:val="Style_29"/>
    <w:rPr>
      <w:rFonts w:ascii="XO Thames" w:hAnsi="XO Thames"/>
      <w:sz w:val="20"/>
    </w:rPr>
  </w:style>
  <w:style w:styleId="Style_30" w:type="paragraph">
    <w:name w:val="Знак1 Знак Знак Знак"/>
    <w:basedOn w:val="Style_5"/>
    <w:link w:val="Style_30_ch"/>
    <w:pPr>
      <w:spacing w:afterAutospacing="on" w:beforeAutospacing="on"/>
      <w:ind/>
    </w:pPr>
    <w:rPr>
      <w:rFonts w:ascii="Tahoma" w:hAnsi="Tahoma"/>
      <w:sz w:val="20"/>
    </w:rPr>
  </w:style>
  <w:style w:styleId="Style_30_ch" w:type="character">
    <w:name w:val="Знак1 Знак Знак Знак"/>
    <w:basedOn w:val="Style_5_ch"/>
    <w:link w:val="Style_30"/>
    <w:rPr>
      <w:rFonts w:ascii="Tahoma" w:hAnsi="Tahoma"/>
      <w:sz w:val="20"/>
    </w:rPr>
  </w:style>
  <w:style w:styleId="Style_31" w:type="paragraph">
    <w:name w:val="toc 9"/>
    <w:next w:val="Style_5"/>
    <w:link w:val="Style_3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toc 8"/>
    <w:next w:val="Style_5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Body Text Indent 2"/>
    <w:basedOn w:val="Style_5"/>
    <w:link w:val="Style_33_ch"/>
    <w:pPr>
      <w:ind w:firstLine="708" w:left="0"/>
    </w:pPr>
    <w:rPr>
      <w:sz w:val="28"/>
    </w:rPr>
  </w:style>
  <w:style w:styleId="Style_33_ch" w:type="character">
    <w:name w:val="Body Text Indent 2"/>
    <w:basedOn w:val="Style_5_ch"/>
    <w:link w:val="Style_33"/>
    <w:rPr>
      <w:sz w:val="28"/>
    </w:rPr>
  </w:style>
  <w:style w:styleId="Style_34" w:type="paragraph">
    <w:name w:val="toc 5"/>
    <w:next w:val="Style_5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ConsPlusNonformat"/>
    <w:link w:val="Style_35_ch"/>
    <w:rPr>
      <w:rFonts w:ascii="Courier New" w:hAnsi="Courier New"/>
    </w:rPr>
  </w:style>
  <w:style w:styleId="Style_35_ch" w:type="character">
    <w:name w:val="ConsPlusNonformat"/>
    <w:link w:val="Style_35"/>
    <w:rPr>
      <w:rFonts w:ascii="Courier New" w:hAnsi="Courier New"/>
    </w:rPr>
  </w:style>
  <w:style w:styleId="Style_36" w:type="paragraph">
    <w:name w:val="Subtitle"/>
    <w:next w:val="Style_5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5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5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next w:val="Style_5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2025-12-23T09:33:39Z</dcterms:modified>
</cp:coreProperties>
</file>