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1</w:t>
      </w:r>
    </w:p>
    <w:p w14:paraId="02000000">
      <w:pPr>
        <w:ind w:right="19"/>
        <w:jc w:val="right"/>
        <w:rPr>
          <w:sz w:val="20"/>
        </w:rPr>
      </w:pPr>
      <w:r>
        <w:rPr>
          <w:sz w:val="20"/>
        </w:rPr>
        <w:t>к протоколу заседания Правления</w:t>
      </w:r>
    </w:p>
    <w:p w14:paraId="03000000">
      <w:pPr>
        <w:ind w:right="17"/>
        <w:jc w:val="right"/>
        <w:rPr>
          <w:sz w:val="20"/>
        </w:rPr>
      </w:pPr>
      <w:r>
        <w:rPr>
          <w:sz w:val="20"/>
        </w:rPr>
        <w:t>Региональной службы по тарифам</w:t>
      </w:r>
    </w:p>
    <w:p w14:paraId="04000000">
      <w:pPr>
        <w:ind w:right="19"/>
        <w:jc w:val="right"/>
        <w:rPr>
          <w:sz w:val="20"/>
        </w:rPr>
      </w:pPr>
      <w:r>
        <w:rPr>
          <w:sz w:val="20"/>
        </w:rPr>
        <w:t>Ростовской области</w:t>
      </w:r>
    </w:p>
    <w:p w14:paraId="05000000">
      <w:pPr>
        <w:ind w:firstLine="540" w:left="-900" w:right="-5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30</w:t>
      </w:r>
      <w:r>
        <w:rPr>
          <w:sz w:val="20"/>
        </w:rPr>
        <w:t>.</w:t>
      </w:r>
      <w:r>
        <w:rPr>
          <w:sz w:val="20"/>
        </w:rPr>
        <w:t>11</w:t>
      </w:r>
      <w:r>
        <w:rPr>
          <w:sz w:val="20"/>
        </w:rPr>
        <w:t>.202</w:t>
      </w:r>
      <w:r>
        <w:rPr>
          <w:sz w:val="20"/>
        </w:rPr>
        <w:t>3</w:t>
      </w:r>
      <w:r>
        <w:rPr>
          <w:sz w:val="20"/>
        </w:rPr>
        <w:t xml:space="preserve"> № </w:t>
      </w:r>
      <w:r>
        <w:rPr>
          <w:sz w:val="20"/>
        </w:rPr>
        <w:t>60</w:t>
      </w:r>
    </w:p>
    <w:p w14:paraId="06000000">
      <w:pPr>
        <w:ind w:firstLine="540" w:left="-900" w:right="-5"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ind w:right="-465"/>
        <w:rPr>
          <w:sz w:val="20"/>
        </w:rPr>
      </w:pPr>
    </w:p>
    <w:p w14:paraId="08000000">
      <w:pPr>
        <w:ind w:firstLine="540" w:left="-900" w:right="-5"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9000000">
      <w:pPr>
        <w:ind w:firstLine="540" w:left="-900" w:right="-5"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A000000">
      <w:pPr>
        <w:ind w:firstLine="540" w:left="-900" w:right="-5"/>
        <w:jc w:val="center"/>
        <w:rPr>
          <w:b w:val="1"/>
        </w:rPr>
      </w:pPr>
    </w:p>
    <w:p w14:paraId="0B000000">
      <w:pPr>
        <w:ind w:firstLine="540" w:left="-900" w:right="-5"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C000000">
      <w:pPr>
        <w:ind w:firstLine="540" w:left="-900" w:right="-5"/>
        <w:jc w:val="center"/>
        <w:rPr>
          <w:sz w:val="16"/>
        </w:rPr>
      </w:pPr>
    </w:p>
    <w:p w14:paraId="0D000000">
      <w:pPr>
        <w:ind/>
        <w:jc w:val="center"/>
        <w:rPr>
          <w:sz w:val="28"/>
        </w:rPr>
      </w:pPr>
      <w:r>
        <w:rPr>
          <w:sz w:val="28"/>
        </w:rPr>
        <w:t>30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3</w:t>
      </w: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 xml:space="preserve">        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</w:t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755</w:t>
      </w:r>
    </w:p>
    <w:p w14:paraId="0E000000">
      <w:pPr>
        <w:ind/>
        <w:jc w:val="center"/>
      </w:pPr>
    </w:p>
    <w:p w14:paraId="0F000000">
      <w:pPr>
        <w:ind w:firstLine="72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установлении сбытовой надбавки гарантирующего поставщика электрической энергии ПАО «ТНС </w:t>
      </w:r>
      <w:r>
        <w:rPr>
          <w:b w:val="1"/>
          <w:sz w:val="28"/>
        </w:rPr>
        <w:t>энерго</w:t>
      </w:r>
      <w:r>
        <w:rPr>
          <w:b w:val="1"/>
          <w:sz w:val="28"/>
        </w:rPr>
        <w:t xml:space="preserve"> Ростов-на-Дону»</w:t>
      </w:r>
      <w:r>
        <w:rPr>
          <w:b w:val="1"/>
          <w:sz w:val="28"/>
        </w:rPr>
        <w:t xml:space="preserve"> на 2024 год</w:t>
      </w:r>
    </w:p>
    <w:p w14:paraId="10000000">
      <w:pPr>
        <w:ind w:firstLine="720" w:left="0"/>
        <w:jc w:val="center"/>
        <w:rPr>
          <w:b w:val="1"/>
        </w:rPr>
      </w:pPr>
    </w:p>
    <w:p w14:paraId="11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 Федеральным законом от 26.03.2003 № 35-ФЗ                             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приказом Федеральной антимонопольной службы от 21.11.2017 № 1554/17 «Об утверждении Методических указаний по расчету сбытовых надбавок гарантирующих поставщиков с использованием метода сравнения аналогов»,  Регламентом установления цен (тарифов) и (или) их предельных уровней, предусматривающим порядок регистрации, принятия к рассмотрению и выдачи отказов в рассмотрении заявлений об установлении цен (тарифов) и (или) их предельных уровней, утвержденным приказом Федеральной антимонопольной службы от 1</w:t>
      </w:r>
      <w:r>
        <w:rPr>
          <w:sz w:val="28"/>
        </w:rPr>
        <w:t>0</w:t>
      </w:r>
      <w:r>
        <w:rPr>
          <w:sz w:val="28"/>
        </w:rPr>
        <w:t>.0</w:t>
      </w:r>
      <w:r>
        <w:rPr>
          <w:sz w:val="28"/>
        </w:rPr>
        <w:t>3</w:t>
      </w:r>
      <w:r>
        <w:rPr>
          <w:sz w:val="28"/>
        </w:rPr>
        <w:t>.20</w:t>
      </w:r>
      <w:r>
        <w:rPr>
          <w:sz w:val="28"/>
        </w:rPr>
        <w:t>22</w:t>
      </w:r>
      <w:r>
        <w:rPr>
          <w:sz w:val="28"/>
        </w:rPr>
        <w:t xml:space="preserve"> № </w:t>
      </w:r>
      <w:r>
        <w:rPr>
          <w:sz w:val="28"/>
        </w:rPr>
        <w:t>196</w:t>
      </w:r>
      <w:r>
        <w:rPr>
          <w:sz w:val="28"/>
        </w:rPr>
        <w:t>/</w:t>
      </w:r>
      <w:r>
        <w:rPr>
          <w:sz w:val="28"/>
        </w:rPr>
        <w:t>22</w:t>
      </w:r>
      <w:r>
        <w:rPr>
          <w:sz w:val="28"/>
        </w:rPr>
        <w:t xml:space="preserve">, на основании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"consultantplus://offline/ref=2206A0618787245B1DDA0962B2356EE8AA6A812CB8D0B42F495A058B7E69D77CF93FE01D6BDCFC8DFDD4F3B334N"</w:instrText>
      </w:r>
      <w:r>
        <w:rPr>
          <w:sz w:val="28"/>
        </w:rPr>
        <w:fldChar w:fldCharType="separate"/>
      </w:r>
      <w:r>
        <w:rPr>
          <w:sz w:val="28"/>
        </w:rPr>
        <w:t>Положения</w:t>
      </w:r>
      <w:r>
        <w:rPr>
          <w:sz w:val="28"/>
        </w:rPr>
        <w:fldChar w:fldCharType="end"/>
      </w:r>
      <w:r>
        <w:rPr>
          <w:sz w:val="28"/>
        </w:rPr>
        <w:t xml:space="preserve"> о Региональной службе по тарифам Ростовской области, утвержденного постановлением Правительства Ростовской области от 13.01.2012 № 20, Региональная служба по тарифам Ростовской области </w:t>
      </w:r>
    </w:p>
    <w:p w14:paraId="12000000">
      <w:pPr>
        <w:ind w:firstLine="720" w:left="0"/>
        <w:jc w:val="center"/>
      </w:pPr>
    </w:p>
    <w:p w14:paraId="1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4000000">
      <w:pPr>
        <w:pStyle w:val="Style_1"/>
        <w:spacing w:line="240" w:lineRule="auto"/>
        <w:ind w:firstLine="720" w:left="0"/>
        <w:jc w:val="both"/>
        <w:rPr>
          <w:b w:val="1"/>
          <w:sz w:val="24"/>
        </w:rPr>
      </w:pPr>
    </w:p>
    <w:p w14:paraId="15000000">
      <w:pPr>
        <w:numPr>
          <w:ilvl w:val="0"/>
          <w:numId w:val="1"/>
        </w:numPr>
        <w:tabs>
          <w:tab w:leader="none" w:pos="720" w:val="left"/>
          <w:tab w:leader="none" w:pos="900" w:val="left"/>
          <w:tab w:leader="none" w:pos="1260" w:val="clear"/>
        </w:tabs>
        <w:ind w:firstLine="540" w:left="0"/>
        <w:jc w:val="both"/>
        <w:rPr>
          <w:sz w:val="28"/>
        </w:rPr>
      </w:pPr>
      <w:r>
        <w:rPr>
          <w:sz w:val="28"/>
        </w:rPr>
        <w:t xml:space="preserve">Установить с 1 </w:t>
      </w:r>
      <w:r>
        <w:rPr>
          <w:sz w:val="28"/>
        </w:rPr>
        <w:t>января</w:t>
      </w:r>
      <w:r>
        <w:rPr>
          <w:sz w:val="28"/>
        </w:rPr>
        <w:t xml:space="preserve"> 202</w:t>
      </w:r>
      <w:r>
        <w:rPr>
          <w:sz w:val="28"/>
        </w:rPr>
        <w:t>4</w:t>
      </w:r>
      <w:r>
        <w:rPr>
          <w:sz w:val="28"/>
        </w:rPr>
        <w:t xml:space="preserve"> года по 31 декабря 202</w:t>
      </w:r>
      <w:r>
        <w:rPr>
          <w:sz w:val="28"/>
        </w:rPr>
        <w:t>4</w:t>
      </w:r>
      <w:r>
        <w:rPr>
          <w:sz w:val="28"/>
        </w:rPr>
        <w:t xml:space="preserve"> года сбытовые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"consultantplus://offline/ref=25E18100AA323EF2CBD696663102E7829D1A138E34A79E1F6A3CD94CB7BF01A9D28708B1651C5DE79F344FyCLFO"</w:instrText>
      </w:r>
      <w:r>
        <w:rPr>
          <w:sz w:val="28"/>
        </w:rPr>
        <w:fldChar w:fldCharType="separate"/>
      </w:r>
      <w:r>
        <w:rPr>
          <w:sz w:val="28"/>
        </w:rPr>
        <w:t>надбавки</w:t>
      </w:r>
      <w:r>
        <w:rPr>
          <w:sz w:val="28"/>
        </w:rPr>
        <w:fldChar w:fldCharType="end"/>
      </w:r>
      <w:r>
        <w:rPr>
          <w:sz w:val="28"/>
        </w:rPr>
        <w:t xml:space="preserve"> гарантирующего поставщика ПАО «ТНС </w:t>
      </w:r>
      <w:r>
        <w:rPr>
          <w:sz w:val="28"/>
        </w:rPr>
        <w:t>энерго</w:t>
      </w:r>
      <w:r>
        <w:rPr>
          <w:sz w:val="28"/>
        </w:rPr>
        <w:t xml:space="preserve"> Ростов-на-Дону», поставляющего электрическую энергию (мощность) на розничном рынке на территории Ростовской области, в границах зон его деятельности, согласно приложению к постановлению.</w:t>
      </w:r>
    </w:p>
    <w:p w14:paraId="16000000">
      <w:pPr>
        <w:numPr>
          <w:ilvl w:val="0"/>
          <w:numId w:val="1"/>
        </w:numPr>
        <w:tabs>
          <w:tab w:leader="none" w:pos="720" w:val="left"/>
          <w:tab w:leader="none" w:pos="900" w:val="left"/>
          <w:tab w:leader="none" w:pos="1260" w:val="clear"/>
        </w:tabs>
        <w:ind w:firstLine="540" w:left="0"/>
        <w:jc w:val="both"/>
        <w:rPr>
          <w:sz w:val="28"/>
        </w:rPr>
      </w:pPr>
      <w:r>
        <w:rPr>
          <w:sz w:val="28"/>
        </w:rPr>
        <w:t xml:space="preserve">Постановление вступает в силу с 1 </w:t>
      </w:r>
      <w:r>
        <w:rPr>
          <w:sz w:val="28"/>
        </w:rPr>
        <w:t>января</w:t>
      </w:r>
      <w:r>
        <w:rPr>
          <w:sz w:val="28"/>
        </w:rPr>
        <w:t xml:space="preserve"> 202</w:t>
      </w:r>
      <w:r>
        <w:rPr>
          <w:sz w:val="28"/>
        </w:rPr>
        <w:t>4</w:t>
      </w:r>
      <w:r>
        <w:rPr>
          <w:sz w:val="28"/>
        </w:rPr>
        <w:t xml:space="preserve"> года.</w:t>
      </w:r>
    </w:p>
    <w:p w14:paraId="17000000">
      <w:pPr>
        <w:tabs>
          <w:tab w:leader="none" w:pos="900" w:val="left"/>
        </w:tabs>
        <w:ind/>
        <w:jc w:val="both"/>
        <w:rPr>
          <w:sz w:val="28"/>
        </w:rPr>
      </w:pPr>
    </w:p>
    <w:p w14:paraId="18000000">
      <w:pPr>
        <w:tabs>
          <w:tab w:leader="none" w:pos="900" w:val="left"/>
        </w:tabs>
        <w:ind/>
        <w:jc w:val="both"/>
        <w:rPr>
          <w:sz w:val="28"/>
        </w:rPr>
      </w:pPr>
    </w:p>
    <w:p w14:paraId="19000000">
      <w:pPr>
        <w:tabs>
          <w:tab w:leader="none" w:pos="900" w:val="left"/>
        </w:tabs>
        <w:ind/>
        <w:jc w:val="both"/>
        <w:rPr>
          <w:sz w:val="28"/>
        </w:rPr>
      </w:pPr>
    </w:p>
    <w:p w14:paraId="1A000000">
      <w:pPr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B000000">
      <w:pPr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1C000000">
      <w:pPr>
        <w:rPr>
          <w:b w:val="1"/>
          <w:sz w:val="28"/>
        </w:rPr>
      </w:pPr>
      <w:r>
        <w:rPr>
          <w:b w:val="1"/>
          <w:sz w:val="28"/>
        </w:rPr>
        <w:t>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    А.В. Лукьянов</w:t>
      </w:r>
    </w:p>
    <w:p w14:paraId="1D000000">
      <w:pPr>
        <w:sectPr>
          <w:pgSz w:h="16838" w:orient="portrait" w:w="11906"/>
          <w:pgMar w:bottom="709" w:footer="709" w:gutter="0" w:header="709" w:left="851" w:right="851" w:top="993"/>
        </w:sectPr>
      </w:pPr>
    </w:p>
    <w:p w14:paraId="1E000000">
      <w:pPr>
        <w:ind/>
        <w:jc w:val="right"/>
        <w:rPr>
          <w:sz w:val="20"/>
        </w:rPr>
      </w:pPr>
      <w:r>
        <w:rPr>
          <w:sz w:val="20"/>
        </w:rPr>
        <w:t xml:space="preserve">Приложение </w:t>
      </w:r>
    </w:p>
    <w:p w14:paraId="1F000000">
      <w:pPr>
        <w:ind/>
        <w:jc w:val="right"/>
        <w:rPr>
          <w:sz w:val="20"/>
        </w:rPr>
      </w:pPr>
      <w:r>
        <w:rPr>
          <w:sz w:val="20"/>
        </w:rPr>
        <w:t>к постановлению</w:t>
      </w:r>
    </w:p>
    <w:p w14:paraId="20000000">
      <w:pPr>
        <w:ind/>
        <w:jc w:val="right"/>
        <w:rPr>
          <w:sz w:val="20"/>
        </w:rPr>
      </w:pPr>
      <w:r>
        <w:rPr>
          <w:sz w:val="20"/>
        </w:rPr>
        <w:t xml:space="preserve">Региональной службы по тарифам </w:t>
      </w:r>
    </w:p>
    <w:p w14:paraId="21000000">
      <w:pPr>
        <w:ind/>
        <w:jc w:val="right"/>
        <w:rPr>
          <w:sz w:val="20"/>
        </w:rPr>
      </w:pPr>
      <w:r>
        <w:rPr>
          <w:sz w:val="20"/>
        </w:rPr>
        <w:t xml:space="preserve">Ростовской области </w:t>
      </w:r>
    </w:p>
    <w:p w14:paraId="22000000">
      <w:pPr>
        <w:ind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30</w:t>
      </w:r>
      <w:r>
        <w:rPr>
          <w:sz w:val="20"/>
        </w:rPr>
        <w:t>.</w:t>
      </w:r>
      <w:r>
        <w:rPr>
          <w:sz w:val="20"/>
        </w:rPr>
        <w:t>11</w:t>
      </w:r>
      <w:r>
        <w:rPr>
          <w:sz w:val="20"/>
        </w:rPr>
        <w:t>.202</w:t>
      </w:r>
      <w:r>
        <w:rPr>
          <w:sz w:val="20"/>
        </w:rPr>
        <w:t>3</w:t>
      </w:r>
      <w:r>
        <w:rPr>
          <w:sz w:val="20"/>
        </w:rPr>
        <w:t xml:space="preserve"> № </w:t>
      </w:r>
      <w:r>
        <w:rPr>
          <w:sz w:val="20"/>
        </w:rPr>
        <w:t>755</w:t>
      </w:r>
      <w:bookmarkStart w:id="1" w:name="_GoBack"/>
      <w:bookmarkEnd w:id="1"/>
    </w:p>
    <w:p w14:paraId="23000000">
      <w:pPr>
        <w:ind/>
        <w:jc w:val="center"/>
      </w:pPr>
    </w:p>
    <w:p w14:paraId="24000000">
      <w:pPr>
        <w:ind/>
        <w:jc w:val="center"/>
      </w:pPr>
    </w:p>
    <w:p w14:paraId="25000000">
      <w:pPr>
        <w:ind/>
        <w:jc w:val="center"/>
      </w:pPr>
    </w:p>
    <w:p w14:paraId="2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Сбытовые надбавки гарантирующего поставщика электрической энергии</w:t>
      </w:r>
      <w:r>
        <w:t xml:space="preserve"> </w:t>
      </w:r>
      <w:r>
        <w:rPr>
          <w:b w:val="1"/>
          <w:sz w:val="28"/>
        </w:rPr>
        <w:t xml:space="preserve">ПАО «ТНС </w:t>
      </w:r>
      <w:r>
        <w:rPr>
          <w:b w:val="1"/>
          <w:sz w:val="28"/>
        </w:rPr>
        <w:t>энерго</w:t>
      </w:r>
      <w:r>
        <w:rPr>
          <w:b w:val="1"/>
          <w:sz w:val="28"/>
        </w:rPr>
        <w:t xml:space="preserve"> Ростов-на-Дону», поставляющего электрическую энергию (мощность) на розничном рынке на территории Ростовской области</w:t>
      </w:r>
    </w:p>
    <w:p w14:paraId="27000000">
      <w:pPr>
        <w:ind/>
        <w:jc w:val="center"/>
        <w:rPr>
          <w:b w:val="1"/>
          <w:sz w:val="28"/>
        </w:rPr>
      </w:pPr>
    </w:p>
    <w:p w14:paraId="28000000">
      <w:pPr>
        <w:ind/>
        <w:jc w:val="center"/>
        <w:rPr>
          <w:b w:val="1"/>
          <w:sz w:val="28"/>
        </w:rPr>
      </w:pPr>
    </w:p>
    <w:p w14:paraId="29000000">
      <w:pPr>
        <w:tabs>
          <w:tab w:leader="none" w:pos="2095" w:val="left"/>
        </w:tabs>
        <w:ind/>
        <w:jc w:val="right"/>
      </w:pPr>
      <w:r>
        <w:t>руб./</w:t>
      </w:r>
      <w:r>
        <w:t>кВт·ч</w:t>
      </w:r>
      <w:r>
        <w:t xml:space="preserve"> (без НДС)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2269"/>
        <w:gridCol w:w="1264"/>
        <w:gridCol w:w="1306"/>
        <w:gridCol w:w="1264"/>
        <w:gridCol w:w="1264"/>
        <w:gridCol w:w="1264"/>
        <w:gridCol w:w="1264"/>
        <w:gridCol w:w="1264"/>
        <w:gridCol w:w="1264"/>
        <w:gridCol w:w="1264"/>
        <w:gridCol w:w="1197"/>
      </w:tblGrid>
      <w:tr>
        <w:trPr>
          <w:trHeight w:hRule="atLeast" w:val="562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tabs>
                <w:tab w:leader="none" w:pos="2095" w:val="left"/>
              </w:tabs>
              <w:ind/>
              <w:jc w:val="center"/>
            </w:pPr>
            <w:r>
              <w:t xml:space="preserve">№ </w:t>
            </w:r>
          </w:p>
          <w:p w14:paraId="2B000000">
            <w:pPr>
              <w:ind/>
              <w:jc w:val="center"/>
            </w:pPr>
            <w:r>
              <w:t>п/п</w:t>
            </w:r>
          </w:p>
        </w:tc>
        <w:tc>
          <w:tcPr>
            <w:tcW w:type="dxa" w:w="22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tabs>
                <w:tab w:leader="none" w:pos="2095" w:val="left"/>
              </w:tabs>
              <w:ind/>
              <w:jc w:val="center"/>
            </w:pPr>
          </w:p>
          <w:p w14:paraId="2D000000">
            <w:pPr>
              <w:ind/>
              <w:jc w:val="center"/>
            </w:pPr>
            <w:r>
              <w:t>Наименование гарантирующего поставщика</w:t>
            </w:r>
            <w:r>
              <w:t xml:space="preserve"> </w:t>
            </w:r>
          </w:p>
          <w:p w14:paraId="2E000000">
            <w:pPr>
              <w:ind/>
              <w:jc w:val="center"/>
            </w:pPr>
            <w:r>
              <w:t>в Ростовской области</w:t>
            </w:r>
          </w:p>
        </w:tc>
        <w:tc>
          <w:tcPr>
            <w:tcW w:type="dxa" w:w="1261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ind/>
              <w:jc w:val="center"/>
            </w:pPr>
            <w:r>
              <w:t>Сбытовая надбавка</w:t>
            </w:r>
          </w:p>
        </w:tc>
      </w:tr>
      <w:tr>
        <w:trPr>
          <w:trHeight w:hRule="atLeast" w:val="2169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5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ind/>
              <w:jc w:val="center"/>
            </w:pPr>
            <w:r>
              <w:t>население и приравненные к нему категории потребителей</w:t>
            </w:r>
          </w:p>
        </w:tc>
        <w:tc>
          <w:tcPr>
            <w:tcW w:type="dxa" w:w="2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tabs>
                <w:tab w:leader="none" w:pos="2095" w:val="left"/>
              </w:tabs>
              <w:ind/>
              <w:jc w:val="center"/>
            </w:pPr>
            <w:r>
              <w:t>сетевые организации, покупающие электрическую энергию для компенсации потерь</w:t>
            </w:r>
          </w:p>
        </w:tc>
        <w:tc>
          <w:tcPr>
            <w:tcW w:type="dxa" w:w="2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ind/>
              <w:jc w:val="center"/>
            </w:pPr>
            <w:r>
              <w:t xml:space="preserve">прочие потребители с максимальной мощностью принадлежащих им </w:t>
            </w:r>
            <w:r>
              <w:t>энергопринимающих</w:t>
            </w:r>
            <w:r>
              <w:t xml:space="preserve"> устройств менее 670 кВт</w:t>
            </w:r>
          </w:p>
        </w:tc>
        <w:tc>
          <w:tcPr>
            <w:tcW w:type="dxa" w:w="2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ind/>
              <w:jc w:val="center"/>
            </w:pPr>
            <w:r>
              <w:t xml:space="preserve">прочие потребители с максимальной мощностью принадлежащих им </w:t>
            </w:r>
            <w:r>
              <w:t>энергопринимающих</w:t>
            </w:r>
            <w:r>
              <w:t xml:space="preserve"> устройств от 670 кВт до 10 МВт</w:t>
            </w:r>
          </w:p>
        </w:tc>
        <w:tc>
          <w:tcPr>
            <w:tcW w:type="dxa" w:w="24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ind/>
              <w:jc w:val="center"/>
            </w:pPr>
            <w:r>
              <w:t xml:space="preserve">прочие потребители с максимальной мощностью принадлежащих им </w:t>
            </w:r>
            <w:r>
              <w:t>энергопринимающих</w:t>
            </w:r>
            <w:r>
              <w:t xml:space="preserve"> устройств не менее 10 МВт</w:t>
            </w:r>
          </w:p>
        </w:tc>
      </w:tr>
      <w:tr>
        <w:trPr>
          <w:trHeight w:hRule="atLeast" w:val="79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ind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ind w:firstLine="0" w:left="-81" w:right="-145"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ind w:firstLine="0" w:left="-81" w:right="-145"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 w:firstLine="0" w:left="-81" w:right="-145"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ind w:firstLine="0" w:left="-81" w:right="-145"/>
              <w:jc w:val="center"/>
            </w:pPr>
            <w:r>
              <w:t>II полугодие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ind/>
              <w:jc w:val="center"/>
            </w:pPr>
            <w:r>
              <w:t>1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ind/>
              <w:jc w:val="center"/>
            </w:pPr>
            <w:r>
              <w:t>2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ind/>
              <w:jc w:val="center"/>
            </w:pPr>
            <w:r>
              <w:t>3</w:t>
            </w:r>
          </w:p>
        </w:tc>
        <w:tc>
          <w:tcPr>
            <w:tcW w:type="dxa" w:w="1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ind/>
              <w:jc w:val="center"/>
            </w:pPr>
            <w:r>
              <w:t>4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</w:pPr>
            <w:r>
              <w:t>5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</w:pPr>
            <w:r>
              <w:t>6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</w:pPr>
            <w:r>
              <w:t>7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</w:pPr>
            <w:r>
              <w:t>8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ind/>
              <w:jc w:val="center"/>
            </w:pPr>
            <w:r>
              <w:t>9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ind/>
              <w:jc w:val="center"/>
            </w:pPr>
            <w:r>
              <w:t>10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</w:pPr>
            <w:r>
              <w:t>11</w:t>
            </w:r>
          </w:p>
        </w:tc>
        <w:tc>
          <w:tcPr>
            <w:tcW w:type="dxa" w:w="1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ind/>
              <w:jc w:val="center"/>
            </w:pPr>
            <w:r>
              <w:t>12</w:t>
            </w:r>
          </w:p>
        </w:tc>
      </w:tr>
      <w:tr>
        <w:trPr>
          <w:trHeight w:hRule="atLeast" w:val="83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t>1.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  <w:r>
              <w:t xml:space="preserve">ПАО «ТНС </w:t>
            </w:r>
            <w:r>
              <w:t>энерго</w:t>
            </w:r>
            <w:r>
              <w:t xml:space="preserve"> Ростов-на-Дону»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</w:pPr>
            <w:r>
              <w:t>0,15771</w:t>
            </w:r>
          </w:p>
        </w:tc>
        <w:tc>
          <w:tcPr>
            <w:tcW w:type="dxa" w:w="1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</w:pPr>
            <w:r>
              <w:t>0,37549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ind/>
              <w:jc w:val="center"/>
            </w:pPr>
            <w:r>
              <w:t>0,50845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ind/>
              <w:jc w:val="center"/>
            </w:pPr>
            <w:r>
              <w:t>0,54506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ind/>
              <w:jc w:val="center"/>
            </w:pPr>
            <w:r>
              <w:t>0,99333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/>
              <w:jc w:val="center"/>
            </w:pPr>
            <w:r>
              <w:t>1,01854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/>
              <w:jc w:val="center"/>
            </w:pPr>
            <w:r>
              <w:t>0,38915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</w:pPr>
            <w:r>
              <w:t>0,34190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/>
              <w:jc w:val="center"/>
            </w:pPr>
            <w:r>
              <w:t>0,38915</w:t>
            </w:r>
          </w:p>
        </w:tc>
        <w:tc>
          <w:tcPr>
            <w:tcW w:type="dxa" w:w="1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t>0,34190</w:t>
            </w:r>
          </w:p>
        </w:tc>
      </w:tr>
    </w:tbl>
    <w:p w14:paraId="57000000">
      <w:pPr>
        <w:tabs>
          <w:tab w:leader="none" w:pos="2095" w:val="left"/>
        </w:tabs>
        <w:ind/>
      </w:pPr>
    </w:p>
    <w:p w14:paraId="58000000">
      <w:pPr>
        <w:tabs>
          <w:tab w:leader="none" w:pos="2095" w:val="left"/>
        </w:tabs>
        <w:ind/>
      </w:pPr>
    </w:p>
    <w:sectPr>
      <w:pgSz w:h="11906" w:orient="landscape" w:w="16838"/>
      <w:pgMar w:bottom="851" w:footer="709" w:gutter="0" w:header="709" w:left="851" w:right="678" w:top="11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1260" w:val="left"/>
        </w:tabs>
        <w:ind w:hanging="360" w:left="1260"/>
      </w:pPr>
    </w:lvl>
    <w:lvl w:ilvl="1">
      <w:start w:val="1"/>
      <w:numFmt w:val="lowerLetter"/>
      <w:lvlText w:val="%2."/>
      <w:lvlJc w:val="left"/>
      <w:pPr>
        <w:tabs>
          <w:tab w:leader="none" w:pos="1980" w:val="left"/>
        </w:tabs>
        <w:ind w:hanging="360" w:left="1980"/>
      </w:pPr>
    </w:lvl>
    <w:lvl w:ilvl="2">
      <w:start w:val="1"/>
      <w:numFmt w:val="lowerRoman"/>
      <w:lvlText w:val="%3."/>
      <w:lvlJc w:val="right"/>
      <w:pPr>
        <w:tabs>
          <w:tab w:leader="none" w:pos="2700" w:val="left"/>
        </w:tabs>
        <w:ind w:hanging="180" w:left="2700"/>
      </w:pPr>
    </w:lvl>
    <w:lvl w:ilvl="3">
      <w:start w:val="1"/>
      <w:numFmt w:val="decimal"/>
      <w:lvlText w:val="%4."/>
      <w:lvlJc w:val="left"/>
      <w:pPr>
        <w:tabs>
          <w:tab w:leader="none" w:pos="3420" w:val="left"/>
        </w:tabs>
        <w:ind w:hanging="360" w:left="3420"/>
      </w:pPr>
    </w:lvl>
    <w:lvl w:ilvl="4">
      <w:start w:val="1"/>
      <w:numFmt w:val="lowerLetter"/>
      <w:lvlText w:val="%5."/>
      <w:lvlJc w:val="left"/>
      <w:pPr>
        <w:tabs>
          <w:tab w:leader="none" w:pos="4140" w:val="left"/>
        </w:tabs>
        <w:ind w:hanging="360" w:left="4140"/>
      </w:pPr>
    </w:lvl>
    <w:lvl w:ilvl="5">
      <w:start w:val="1"/>
      <w:numFmt w:val="lowerRoman"/>
      <w:lvlText w:val="%6."/>
      <w:lvlJc w:val="right"/>
      <w:pPr>
        <w:tabs>
          <w:tab w:leader="none" w:pos="4860" w:val="left"/>
        </w:tabs>
        <w:ind w:hanging="180" w:left="4860"/>
      </w:pPr>
    </w:lvl>
    <w:lvl w:ilvl="6">
      <w:start w:val="1"/>
      <w:numFmt w:val="decimal"/>
      <w:lvlText w:val="%7."/>
      <w:lvlJc w:val="left"/>
      <w:pPr>
        <w:tabs>
          <w:tab w:leader="none" w:pos="5580" w:val="left"/>
        </w:tabs>
        <w:ind w:hanging="360" w:left="5580"/>
      </w:pPr>
    </w:lvl>
    <w:lvl w:ilvl="7">
      <w:start w:val="1"/>
      <w:numFmt w:val="lowerLetter"/>
      <w:lvlText w:val="%8."/>
      <w:lvlJc w:val="left"/>
      <w:pPr>
        <w:tabs>
          <w:tab w:leader="none" w:pos="6300" w:val="left"/>
        </w:tabs>
        <w:ind w:hanging="360" w:left="6300"/>
      </w:pPr>
    </w:lvl>
    <w:lvl w:ilvl="8">
      <w:start w:val="1"/>
      <w:numFmt w:val="lowerRoman"/>
      <w:lvlText w:val="%9."/>
      <w:lvlJc w:val="right"/>
      <w:pPr>
        <w:tabs>
          <w:tab w:leader="none" w:pos="7020" w:val="left"/>
        </w:tabs>
        <w:ind w:hanging="180" w:left="70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Обычный1"/>
    <w:link w:val="Style_6_ch"/>
    <w:rPr>
      <w:sz w:val="24"/>
    </w:rPr>
  </w:style>
  <w:style w:styleId="Style_6_ch" w:type="character">
    <w:name w:val="Обычный1"/>
    <w:link w:val="Style_6"/>
    <w:rPr>
      <w:sz w:val="24"/>
    </w:rPr>
  </w:style>
  <w:style w:styleId="Style_7" w:type="paragraph">
    <w:name w:val="toc 6"/>
    <w:next w:val="Style_3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Body Text Indent 2"/>
    <w:basedOn w:val="Style_3"/>
    <w:link w:val="Style_1_ch"/>
    <w:pPr>
      <w:spacing w:after="120" w:line="480" w:lineRule="auto"/>
      <w:ind w:firstLine="0" w:left="283"/>
    </w:pPr>
    <w:rPr>
      <w:sz w:val="28"/>
    </w:rPr>
  </w:style>
  <w:style w:styleId="Style_1_ch" w:type="character">
    <w:name w:val="Body Text Indent 2"/>
    <w:basedOn w:val="Style_3_ch"/>
    <w:link w:val="Style_1"/>
    <w:rPr>
      <w:sz w:val="28"/>
    </w:rPr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basedOn w:val="Style_3"/>
    <w:link w:val="Style_13_ch"/>
    <w:semiHidden w:val="1"/>
    <w:unhideWhenUsed w:val="1"/>
    <w:pPr>
      <w:spacing w:afterAutospacing="on" w:beforeAutospacing="on"/>
      <w:ind/>
    </w:pPr>
    <w:rPr>
      <w:rFonts w:ascii="Tahoma" w:hAnsi="Tahoma"/>
      <w:sz w:val="20"/>
    </w:rPr>
  </w:style>
  <w:style w:styleId="Style_13_ch" w:type="character">
    <w:basedOn w:val="Style_3_ch"/>
    <w:link w:val="Style_13"/>
    <w:semiHidden w:val="1"/>
    <w:unhideWhenUsed w:val="1"/>
    <w:rPr>
      <w:rFonts w:ascii="Tahoma" w:hAnsi="Tahoma"/>
      <w:sz w:val="20"/>
    </w:rPr>
  </w:style>
  <w:style w:styleId="Style_14" w:type="paragraph">
    <w:name w:val="ConsPlusTitle"/>
    <w:link w:val="Style_14_ch"/>
    <w:rPr>
      <w:b w:val="1"/>
      <w:sz w:val="24"/>
    </w:rPr>
  </w:style>
  <w:style w:styleId="Style_14_ch" w:type="character">
    <w:name w:val="ConsPlusTitle"/>
    <w:link w:val="Style_14"/>
    <w:rPr>
      <w:b w:val="1"/>
      <w:sz w:val="24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toc 10"/>
    <w:next w:val="Style_3"/>
    <w:link w:val="Style_16_ch"/>
    <w:pPr>
      <w:ind w:firstLine="0" w:left="1800"/>
    </w:pPr>
    <w:rPr>
      <w:rFonts w:ascii="XO Thames" w:hAnsi="XO Thames"/>
      <w:sz w:val="28"/>
    </w:rPr>
  </w:style>
  <w:style w:styleId="Style_16_ch" w:type="character">
    <w:name w:val="toc 10"/>
    <w:link w:val="Style_16"/>
    <w:rPr>
      <w:rFonts w:ascii="XO Thames" w:hAnsi="XO Thames"/>
      <w:sz w:val="28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Знак1 Знак Знак Знак"/>
    <w:basedOn w:val="Style_3"/>
    <w:link w:val="Style_21_ch"/>
    <w:pPr>
      <w:spacing w:afterAutospacing="on" w:beforeAutospacing="on"/>
      <w:ind/>
    </w:pPr>
    <w:rPr>
      <w:rFonts w:ascii="Tahoma" w:hAnsi="Tahoma"/>
      <w:sz w:val="20"/>
    </w:rPr>
  </w:style>
  <w:style w:styleId="Style_21_ch" w:type="character">
    <w:name w:val="Знак1 Знак Знак Знак"/>
    <w:basedOn w:val="Style_3_ch"/>
    <w:link w:val="Style_21"/>
    <w:rPr>
      <w:rFonts w:ascii="Tahoma" w:hAnsi="Tahoma"/>
      <w:sz w:val="20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next w:val="Style_3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Balloon Text"/>
    <w:basedOn w:val="Style_3"/>
    <w:link w:val="Style_24_ch"/>
    <w:rPr>
      <w:rFonts w:ascii="Tahoma" w:hAnsi="Tahoma"/>
      <w:sz w:val="16"/>
    </w:rPr>
  </w:style>
  <w:style w:styleId="Style_24_ch" w:type="character">
    <w:name w:val="Balloon Text"/>
    <w:basedOn w:val="Style_3_ch"/>
    <w:link w:val="Style_24"/>
    <w:rPr>
      <w:rFonts w:ascii="Tahoma" w:hAnsi="Tahoma"/>
      <w:sz w:val="16"/>
    </w:rPr>
  </w:style>
  <w:style w:styleId="Style_25" w:type="paragraph">
    <w:name w:val="toc 8"/>
    <w:next w:val="Style_3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Normal"/>
    <w:link w:val="Style_26_ch"/>
    <w:pPr>
      <w:widowControl w:val="0"/>
      <w:ind w:firstLine="720" w:left="0"/>
    </w:pPr>
    <w:rPr>
      <w:rFonts w:ascii="Arial" w:hAnsi="Arial"/>
      <w:sz w:val="16"/>
    </w:rPr>
  </w:style>
  <w:style w:styleId="Style_26_ch" w:type="character">
    <w:name w:val="ConsNormal"/>
    <w:link w:val="Style_26"/>
    <w:rPr>
      <w:rFonts w:ascii="Arial" w:hAnsi="Arial"/>
      <w:sz w:val="16"/>
    </w:rPr>
  </w:style>
  <w:style w:styleId="Style_27" w:type="paragraph">
    <w:name w:val="toc 5"/>
    <w:next w:val="Style_3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Гиперссылка1"/>
    <w:link w:val="Style_28_ch"/>
    <w:rPr>
      <w:color w:val="0000FF"/>
      <w:u w:val="single"/>
    </w:rPr>
  </w:style>
  <w:style w:styleId="Style_28_ch" w:type="character">
    <w:name w:val="Гиперссылка1"/>
    <w:link w:val="Style_28"/>
    <w:rPr>
      <w:color w:val="0000FF"/>
      <w:u w:val="single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2023-12-04T07:22:08Z</dcterms:modified>
</cp:coreProperties>
</file>