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Layout w:type="fixed"/>
      </w:tblPr>
      <w:tblGrid>
        <w:gridCol w:w="6291"/>
        <w:gridCol w:w="3234"/>
      </w:tblGrid>
      <w:tr>
        <w:trPr>
          <w:trHeight w:hRule="atLeast" w:val="1843"/>
        </w:trPr>
        <w:tc>
          <w:tcPr>
            <w:tcW w:type="dxa" w:w="6291"/>
            <w:shd w:fill="auto" w:val="clear"/>
          </w:tcPr>
          <w:p w14:paraId="01000000">
            <w:pPr>
              <w:spacing w:before="14" w:line="264" w:lineRule="exact"/>
              <w:ind w:right="-55"/>
            </w:pPr>
          </w:p>
        </w:tc>
        <w:tc>
          <w:tcPr>
            <w:tcW w:type="dxa" w:w="3234"/>
            <w:shd w:fill="auto" w:val="clear"/>
          </w:tcPr>
          <w:p w14:paraId="02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Приложение № 4</w:t>
            </w:r>
          </w:p>
          <w:p w14:paraId="03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к протоколу заседания Правления</w:t>
            </w:r>
          </w:p>
          <w:p w14:paraId="04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Региональной службы по тарифам</w:t>
            </w:r>
          </w:p>
          <w:p w14:paraId="05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Ростовской области</w:t>
            </w:r>
          </w:p>
          <w:p w14:paraId="06000000">
            <w:pPr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от 31.10.2024 № 54</w:t>
            </w:r>
            <w:r>
              <w:rPr>
                <w:sz w:val="20"/>
              </w:rPr>
              <w:t xml:space="preserve"> </w:t>
            </w:r>
          </w:p>
          <w:p w14:paraId="07000000">
            <w:pPr>
              <w:ind/>
              <w:jc w:val="right"/>
              <w:rPr>
                <w:sz w:val="20"/>
              </w:rPr>
            </w:pPr>
          </w:p>
          <w:p w14:paraId="08000000">
            <w:pPr>
              <w:ind/>
              <w:jc w:val="right"/>
              <w:rPr>
                <w:sz w:val="20"/>
              </w:rPr>
            </w:pPr>
          </w:p>
          <w:p w14:paraId="09000000">
            <w:pPr>
              <w:ind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0A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B000000">
      <w:pPr>
        <w:ind/>
        <w:jc w:val="center"/>
        <w:rPr>
          <w:b w:val="1"/>
        </w:rPr>
      </w:pPr>
    </w:p>
    <w:p w14:paraId="0C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E000000">
      <w:pPr>
        <w:ind/>
        <w:jc w:val="center"/>
        <w:rPr>
          <w:b w:val="1"/>
        </w:rPr>
      </w:pPr>
    </w:p>
    <w:p w14:paraId="0F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10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4"/>
        </w:rPr>
      </w:pPr>
    </w:p>
    <w:p w14:paraId="11000000">
      <w:pPr>
        <w:pStyle w:val="Style_2"/>
        <w:widowControl w:val="1"/>
        <w:ind/>
        <w:jc w:val="center"/>
        <w:rPr>
          <w:rFonts w:ascii="Times New Roman" w:hAnsi="Times New Roman"/>
          <w:b w:val="0"/>
          <w:sz w:val="24"/>
        </w:rPr>
      </w:pPr>
    </w:p>
    <w:p w14:paraId="12000000">
      <w:pPr>
        <w:ind w:firstLine="540" w:left="0" w:right="665"/>
        <w:jc w:val="center"/>
        <w:rPr>
          <w:b w:val="1"/>
          <w:sz w:val="26"/>
        </w:rPr>
      </w:pPr>
      <w:r>
        <w:rPr>
          <w:sz w:val="28"/>
        </w:rPr>
        <w:t>31.10.2024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№ </w:t>
      </w:r>
      <w:r>
        <w:rPr>
          <w:sz w:val="28"/>
        </w:rPr>
        <w:t>400</w:t>
      </w:r>
    </w:p>
    <w:p w14:paraId="13000000">
      <w:pPr>
        <w:ind/>
        <w:jc w:val="center"/>
        <w:rPr>
          <w:b w:val="1"/>
        </w:rPr>
      </w:pPr>
    </w:p>
    <w:p w14:paraId="14000000">
      <w:pPr>
        <w:ind/>
        <w:jc w:val="center"/>
        <w:rPr>
          <w:b w:val="1"/>
        </w:rPr>
      </w:pPr>
    </w:p>
    <w:p w14:paraId="15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корректировке производственной программы </w:t>
      </w:r>
    </w:p>
    <w:p w14:paraId="16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 области обращения с твердыми коммунальными отходами </w:t>
      </w:r>
    </w:p>
    <w:p w14:paraId="17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ООО «КХ» (ИНН 6146006176),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г. Зверево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Ростовской области,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на 2025 год</w:t>
      </w:r>
    </w:p>
    <w:p w14:paraId="18000000">
      <w:pPr>
        <w:pStyle w:val="Style_3"/>
        <w:ind w:firstLine="540" w:left="0"/>
        <w:jc w:val="center"/>
        <w:rPr>
          <w:sz w:val="24"/>
        </w:rPr>
      </w:pPr>
    </w:p>
    <w:p w14:paraId="19000000">
      <w:pPr>
        <w:pStyle w:val="Style_3"/>
        <w:ind w:firstLine="540" w:left="0"/>
        <w:jc w:val="center"/>
        <w:rPr>
          <w:sz w:val="24"/>
        </w:rPr>
      </w:pPr>
    </w:p>
    <w:p w14:paraId="1A000000">
      <w:pPr>
        <w:ind w:firstLine="540" w:left="0"/>
        <w:jc w:val="both"/>
        <w:rPr>
          <w:b w:val="1"/>
          <w:sz w:val="28"/>
        </w:rPr>
      </w:pPr>
      <w:r>
        <w:rPr>
          <w:sz w:val="28"/>
        </w:rPr>
        <w:t>В соответствии с Федеральным законом от 24.06.1998 № 89-ФЗ                       «Об отходах производства и потребления</w:t>
      </w:r>
      <w:r>
        <w:rPr>
          <w:sz w:val="28"/>
        </w:rPr>
        <w:t xml:space="preserve">», </w:t>
      </w:r>
      <w:r>
        <w:rPr>
          <w:color w:val="000000"/>
          <w:sz w:val="28"/>
        </w:rPr>
        <w:fldChar w:fldCharType="begin"/>
      </w:r>
      <w:r>
        <w:rPr>
          <w:color w:val="000000"/>
          <w:sz w:val="28"/>
        </w:rPr>
        <w:instrText>HYPERLINK "consultantplus://offline/ref=46F3ACFE5B229C6CFFD5008C9B5715759A6D74F5E6D6E3E5CD64CAE237913B6DA9BD21D3B43F5AD0P4J2J"</w:instrText>
      </w:r>
      <w:r>
        <w:rPr>
          <w:color w:val="000000"/>
          <w:sz w:val="28"/>
        </w:rPr>
        <w:fldChar w:fldCharType="separate"/>
      </w:r>
      <w:r>
        <w:rPr>
          <w:color w:val="000000"/>
          <w:sz w:val="28"/>
        </w:rPr>
        <w:t>Правила</w:t>
      </w:r>
      <w:r>
        <w:rPr>
          <w:color w:val="000000"/>
          <w:sz w:val="28"/>
        </w:rPr>
        <w:fldChar w:fldCharType="end"/>
      </w:r>
      <w:r>
        <w:rPr>
          <w:color w:val="000000"/>
          <w:sz w:val="28"/>
        </w:rPr>
        <w:t>ми разработки, утверждения и корректировки производственных программ в области обращения с твердыми коммунальными отходами, а также осуществления контроля за их реализацией,</w:t>
      </w:r>
      <w:r>
        <w:rPr>
          <w:sz w:val="28"/>
        </w:rPr>
        <w:t xml:space="preserve"> утвержденными постановлением Правительства Российской Федерации от 16.05.2016 № 424, 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1B000000">
      <w:pPr>
        <w:pStyle w:val="Style_3"/>
        <w:ind w:firstLine="540" w:left="0"/>
        <w:jc w:val="center"/>
        <w:rPr>
          <w:rFonts w:ascii="Times New Roman" w:hAnsi="Times New Roman"/>
          <w:sz w:val="18"/>
        </w:rPr>
      </w:pPr>
    </w:p>
    <w:p w14:paraId="1C000000">
      <w:pPr>
        <w:pStyle w:val="Style_3"/>
        <w:ind w:firstLine="0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постановляет:</w:t>
      </w:r>
    </w:p>
    <w:p w14:paraId="1D000000">
      <w:pPr>
        <w:pStyle w:val="Style_3"/>
        <w:ind w:firstLine="0" w:left="0"/>
        <w:jc w:val="center"/>
        <w:rPr>
          <w:rFonts w:ascii="Times New Roman" w:hAnsi="Times New Roman"/>
          <w:sz w:val="16"/>
        </w:rPr>
      </w:pPr>
    </w:p>
    <w:p w14:paraId="1E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В</w:t>
      </w:r>
      <w:r>
        <w:rPr>
          <w:sz w:val="28"/>
        </w:rPr>
        <w:t>нести</w:t>
      </w:r>
      <w:r>
        <w:rPr>
          <w:sz w:val="28"/>
        </w:rPr>
        <w:t xml:space="preserve"> </w:t>
      </w:r>
      <w:r>
        <w:rPr>
          <w:sz w:val="28"/>
        </w:rPr>
        <w:t xml:space="preserve">следующие изменения в постановление Региональной службы по тарифам Ростовской области </w:t>
      </w:r>
      <w:r>
        <w:rPr>
          <w:spacing w:val="-4"/>
          <w:sz w:val="28"/>
        </w:rPr>
        <w:t xml:space="preserve">от </w:t>
      </w:r>
      <w:r>
        <w:rPr>
          <w:spacing w:val="-4"/>
          <w:sz w:val="28"/>
        </w:rPr>
        <w:t>28.11.2022 № 69/115 «Об утверждении производственной программы в области обращения с твердыми коммунальными отходами</w:t>
      </w:r>
      <w:r>
        <w:rPr>
          <w:sz w:val="28"/>
        </w:rPr>
        <w:t xml:space="preserve"> МУП  «КХ» г. Зверево (ИНН 6146005020), Ростовской области, на 2023-2027 годы</w:t>
      </w:r>
      <w:r>
        <w:rPr>
          <w:spacing w:val="-4"/>
          <w:sz w:val="28"/>
        </w:rPr>
        <w:t>»</w:t>
      </w:r>
      <w:r>
        <w:rPr>
          <w:sz w:val="28"/>
        </w:rPr>
        <w:t>:</w:t>
      </w:r>
    </w:p>
    <w:p w14:paraId="1F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1.1. В наименовании и </w:t>
      </w:r>
      <w:r>
        <w:rPr>
          <w:sz w:val="28"/>
        </w:rPr>
        <w:t>в пункте 1</w:t>
      </w:r>
      <w:r>
        <w:rPr>
          <w:sz w:val="28"/>
        </w:rPr>
        <w:t xml:space="preserve"> постановления слова «МУП «К</w:t>
      </w:r>
      <w:r>
        <w:rPr>
          <w:sz w:val="28"/>
        </w:rPr>
        <w:t>Х»</w:t>
      </w:r>
      <w:r>
        <w:rPr>
          <w:sz w:val="28"/>
        </w:rPr>
        <w:t xml:space="preserve"> г.</w:t>
      </w:r>
      <w:r>
        <w:rPr>
          <w:sz w:val="28"/>
        </w:rPr>
        <w:t> </w:t>
      </w:r>
      <w:r>
        <w:rPr>
          <w:sz w:val="28"/>
        </w:rPr>
        <w:t>Зверево</w:t>
      </w:r>
      <w:r>
        <w:rPr>
          <w:sz w:val="28"/>
        </w:rPr>
        <w:t xml:space="preserve"> </w:t>
      </w:r>
      <w:r>
        <w:rPr>
          <w:sz w:val="28"/>
        </w:rPr>
        <w:t>(ИНН 6146005020)</w:t>
      </w:r>
      <w:r>
        <w:rPr>
          <w:sz w:val="28"/>
        </w:rPr>
        <w:t>,</w:t>
      </w:r>
      <w:r>
        <w:rPr>
          <w:sz w:val="28"/>
        </w:rPr>
        <w:t xml:space="preserve">» </w:t>
      </w:r>
      <w:r>
        <w:rPr>
          <w:sz w:val="28"/>
        </w:rPr>
        <w:t>заменить словами «ООО «</w:t>
      </w:r>
      <w:r>
        <w:rPr>
          <w:sz w:val="28"/>
        </w:rPr>
        <w:t>КХ</w:t>
      </w:r>
      <w:r>
        <w:rPr>
          <w:sz w:val="28"/>
        </w:rPr>
        <w:t xml:space="preserve">» </w:t>
      </w:r>
      <w:r>
        <w:rPr>
          <w:sz w:val="28"/>
        </w:rPr>
        <w:t>(ИНН 6146006176)</w:t>
      </w:r>
      <w:r>
        <w:rPr>
          <w:sz w:val="28"/>
        </w:rPr>
        <w:t>, г. Зверево</w:t>
      </w:r>
      <w:r>
        <w:rPr>
          <w:sz w:val="28"/>
        </w:rPr>
        <w:t>».</w:t>
      </w:r>
    </w:p>
    <w:p w14:paraId="20000000">
      <w:pPr>
        <w:ind w:firstLine="709" w:left="0"/>
        <w:jc w:val="both"/>
        <w:rPr>
          <w:sz w:val="28"/>
        </w:rPr>
      </w:pPr>
      <w:r>
        <w:rPr>
          <w:sz w:val="28"/>
        </w:rPr>
        <w:t>1.2</w:t>
      </w:r>
      <w:r>
        <w:rPr>
          <w:sz w:val="28"/>
        </w:rPr>
        <w:t xml:space="preserve">. </w:t>
      </w:r>
      <w:r>
        <w:rPr>
          <w:spacing w:val="-4"/>
          <w:sz w:val="28"/>
        </w:rPr>
        <w:t>П</w:t>
      </w:r>
      <w:r>
        <w:rPr>
          <w:spacing w:val="-4"/>
          <w:sz w:val="28"/>
        </w:rPr>
        <w:t>риложение к постановлению изложи</w:t>
      </w:r>
      <w:r>
        <w:rPr>
          <w:spacing w:val="-4"/>
          <w:sz w:val="28"/>
        </w:rPr>
        <w:t>ть</w:t>
      </w:r>
      <w:r>
        <w:rPr>
          <w:spacing w:val="-4"/>
          <w:sz w:val="28"/>
        </w:rPr>
        <w:t xml:space="preserve"> в редакции согласно </w:t>
      </w:r>
      <w:r>
        <w:rPr>
          <w:spacing w:val="-4"/>
          <w:sz w:val="28"/>
        </w:rPr>
        <w:fldChar w:fldCharType="begin"/>
      </w:r>
      <w:r>
        <w:rPr>
          <w:spacing w:val="-4"/>
          <w:sz w:val="28"/>
        </w:rPr>
        <w:instrText>HYPERLINK "consultantplus://offline/ref=0A011E30BB447F9BDECFE9D664199422AF50E9DCA136615AC96D7A546AC9807F45F0F20CE9C5DD3E504F91fBxBN"</w:instrText>
      </w:r>
      <w:r>
        <w:rPr>
          <w:spacing w:val="-4"/>
          <w:sz w:val="28"/>
        </w:rPr>
        <w:fldChar w:fldCharType="separate"/>
      </w:r>
      <w:r>
        <w:rPr>
          <w:spacing w:val="-4"/>
          <w:sz w:val="28"/>
        </w:rPr>
        <w:t xml:space="preserve">приложению </w:t>
      </w:r>
      <w:r>
        <w:rPr>
          <w:spacing w:val="-4"/>
          <w:sz w:val="28"/>
        </w:rPr>
        <w:fldChar w:fldCharType="end"/>
      </w:r>
      <w:r>
        <w:rPr>
          <w:spacing w:val="-4"/>
          <w:sz w:val="28"/>
        </w:rPr>
        <w:t>к настоящему постановлению.</w:t>
      </w:r>
    </w:p>
    <w:p w14:paraId="21000000">
      <w:pPr>
        <w:pStyle w:val="Style_4"/>
        <w:spacing w:after="0"/>
        <w:ind w:firstLine="720" w:left="0"/>
        <w:jc w:val="both"/>
        <w:rPr>
          <w:spacing w:val="-1"/>
          <w:sz w:val="28"/>
        </w:rPr>
      </w:pPr>
      <w:r>
        <w:rPr>
          <w:sz w:val="28"/>
        </w:rPr>
        <w:t>2</w:t>
      </w:r>
      <w:r>
        <w:rPr>
          <w:sz w:val="28"/>
        </w:rPr>
        <w:t>. 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 и вступает в силу со дня его официального опубликования.</w:t>
      </w:r>
    </w:p>
    <w:p w14:paraId="22000000">
      <w:pPr>
        <w:pStyle w:val="Style_3"/>
        <w:ind w:firstLine="0" w:left="0"/>
        <w:jc w:val="both"/>
        <w:rPr>
          <w:rFonts w:ascii="Times New Roman" w:hAnsi="Times New Roman"/>
          <w:sz w:val="24"/>
        </w:rPr>
      </w:pPr>
    </w:p>
    <w:p w14:paraId="23000000">
      <w:pPr>
        <w:pStyle w:val="Style_3"/>
        <w:ind w:firstLine="0" w:left="0"/>
        <w:jc w:val="both"/>
        <w:rPr>
          <w:rFonts w:ascii="Times New Roman" w:hAnsi="Times New Roman"/>
          <w:sz w:val="24"/>
        </w:rPr>
      </w:pPr>
    </w:p>
    <w:p w14:paraId="24000000">
      <w:pPr>
        <w:pStyle w:val="Style_3"/>
        <w:ind w:firstLine="0" w:left="0"/>
        <w:jc w:val="both"/>
        <w:rPr>
          <w:rFonts w:ascii="Times New Roman" w:hAnsi="Times New Roman"/>
          <w:sz w:val="24"/>
        </w:rPr>
      </w:pPr>
    </w:p>
    <w:p w14:paraId="25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Руководитель </w:t>
      </w:r>
    </w:p>
    <w:p w14:paraId="26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Региональной службы по тарифам </w:t>
      </w:r>
    </w:p>
    <w:p w14:paraId="27000000">
      <w:pPr>
        <w:pStyle w:val="Style_3"/>
        <w:ind w:firstLine="0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Ростовской области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 А.В. Лукьянов</w:t>
      </w:r>
    </w:p>
    <w:p w14:paraId="28000000">
      <w:pPr>
        <w:widowControl w:val="0"/>
        <w:ind/>
        <w:jc w:val="right"/>
      </w:pPr>
    </w:p>
    <w:p w14:paraId="29000000">
      <w:pPr>
        <w:widowControl w:val="0"/>
        <w:ind/>
        <w:jc w:val="right"/>
      </w:pPr>
    </w:p>
    <w:p w14:paraId="2A000000">
      <w:pPr>
        <w:widowControl w:val="0"/>
        <w:ind/>
        <w:jc w:val="right"/>
      </w:pPr>
    </w:p>
    <w:p w14:paraId="2B000000">
      <w:pPr>
        <w:widowControl w:val="0"/>
        <w:ind/>
        <w:jc w:val="right"/>
      </w:pPr>
    </w:p>
    <w:p w14:paraId="2C000000">
      <w:pPr>
        <w:widowControl w:val="0"/>
        <w:ind/>
        <w:jc w:val="right"/>
      </w:pPr>
    </w:p>
    <w:p w14:paraId="2D000000">
      <w:pPr>
        <w:widowControl w:val="0"/>
        <w:ind/>
        <w:jc w:val="right"/>
      </w:pPr>
    </w:p>
    <w:p w14:paraId="2E000000">
      <w:pPr>
        <w:widowControl w:val="0"/>
        <w:ind/>
        <w:jc w:val="right"/>
      </w:pPr>
    </w:p>
    <w:p w14:paraId="2F000000">
      <w:pPr>
        <w:widowControl w:val="0"/>
        <w:ind/>
        <w:jc w:val="right"/>
      </w:pPr>
    </w:p>
    <w:p w14:paraId="30000000">
      <w:pPr>
        <w:widowControl w:val="0"/>
        <w:ind/>
        <w:jc w:val="right"/>
      </w:pPr>
    </w:p>
    <w:p w14:paraId="31000000">
      <w:pPr>
        <w:widowControl w:val="0"/>
        <w:ind/>
        <w:jc w:val="right"/>
      </w:pPr>
    </w:p>
    <w:p w14:paraId="32000000">
      <w:pPr>
        <w:widowControl w:val="0"/>
        <w:ind/>
        <w:jc w:val="right"/>
      </w:pPr>
    </w:p>
    <w:p w14:paraId="33000000">
      <w:pPr>
        <w:widowControl w:val="0"/>
        <w:ind/>
        <w:jc w:val="right"/>
      </w:pPr>
    </w:p>
    <w:p w14:paraId="34000000">
      <w:pPr>
        <w:widowControl w:val="0"/>
        <w:ind/>
        <w:jc w:val="right"/>
      </w:pPr>
    </w:p>
    <w:p w14:paraId="35000000">
      <w:pPr>
        <w:widowControl w:val="0"/>
        <w:ind/>
        <w:jc w:val="right"/>
      </w:pPr>
    </w:p>
    <w:p w14:paraId="36000000">
      <w:pPr>
        <w:widowControl w:val="0"/>
        <w:ind/>
        <w:jc w:val="right"/>
      </w:pPr>
    </w:p>
    <w:p w14:paraId="37000000">
      <w:pPr>
        <w:widowControl w:val="0"/>
        <w:ind/>
        <w:jc w:val="right"/>
      </w:pPr>
    </w:p>
    <w:p w14:paraId="38000000">
      <w:pPr>
        <w:widowControl w:val="0"/>
        <w:ind/>
        <w:jc w:val="right"/>
      </w:pPr>
    </w:p>
    <w:p w14:paraId="39000000">
      <w:pPr>
        <w:widowControl w:val="0"/>
        <w:ind/>
        <w:jc w:val="right"/>
      </w:pPr>
    </w:p>
    <w:p w14:paraId="3A000000">
      <w:pPr>
        <w:widowControl w:val="0"/>
        <w:ind/>
        <w:jc w:val="right"/>
      </w:pPr>
    </w:p>
    <w:p w14:paraId="3B000000">
      <w:pPr>
        <w:widowControl w:val="0"/>
        <w:ind/>
        <w:jc w:val="right"/>
      </w:pPr>
    </w:p>
    <w:p w14:paraId="3C000000">
      <w:pPr>
        <w:widowControl w:val="0"/>
        <w:ind/>
        <w:jc w:val="right"/>
      </w:pPr>
    </w:p>
    <w:p w14:paraId="3D000000">
      <w:pPr>
        <w:widowControl w:val="0"/>
        <w:ind/>
        <w:jc w:val="right"/>
      </w:pPr>
    </w:p>
    <w:p w14:paraId="3E000000">
      <w:pPr>
        <w:widowControl w:val="0"/>
        <w:ind/>
        <w:jc w:val="right"/>
      </w:pPr>
    </w:p>
    <w:p w14:paraId="3F000000">
      <w:pPr>
        <w:widowControl w:val="0"/>
        <w:ind/>
        <w:jc w:val="right"/>
      </w:pPr>
    </w:p>
    <w:p w14:paraId="40000000">
      <w:pPr>
        <w:widowControl w:val="0"/>
        <w:ind/>
        <w:jc w:val="right"/>
      </w:pPr>
    </w:p>
    <w:p w14:paraId="41000000">
      <w:pPr>
        <w:widowControl w:val="0"/>
        <w:ind/>
        <w:jc w:val="right"/>
      </w:pPr>
    </w:p>
    <w:p w14:paraId="42000000">
      <w:pPr>
        <w:widowControl w:val="0"/>
        <w:ind/>
        <w:jc w:val="right"/>
      </w:pPr>
    </w:p>
    <w:p w14:paraId="43000000">
      <w:pPr>
        <w:widowControl w:val="0"/>
        <w:ind/>
        <w:jc w:val="right"/>
      </w:pPr>
    </w:p>
    <w:p w14:paraId="44000000">
      <w:pPr>
        <w:widowControl w:val="0"/>
        <w:ind/>
        <w:jc w:val="right"/>
      </w:pPr>
    </w:p>
    <w:p w14:paraId="45000000">
      <w:pPr>
        <w:widowControl w:val="0"/>
        <w:ind/>
        <w:jc w:val="right"/>
      </w:pPr>
    </w:p>
    <w:p w14:paraId="46000000">
      <w:pPr>
        <w:widowControl w:val="0"/>
        <w:ind/>
        <w:jc w:val="right"/>
      </w:pPr>
    </w:p>
    <w:p w14:paraId="47000000">
      <w:pPr>
        <w:widowControl w:val="0"/>
        <w:ind/>
        <w:jc w:val="right"/>
      </w:pPr>
    </w:p>
    <w:p w14:paraId="48000000">
      <w:pPr>
        <w:widowControl w:val="0"/>
        <w:ind/>
        <w:jc w:val="right"/>
      </w:pPr>
    </w:p>
    <w:p w14:paraId="49000000">
      <w:pPr>
        <w:widowControl w:val="0"/>
        <w:ind/>
        <w:jc w:val="right"/>
      </w:pPr>
    </w:p>
    <w:p w14:paraId="4A000000">
      <w:pPr>
        <w:widowControl w:val="0"/>
        <w:ind/>
        <w:jc w:val="right"/>
      </w:pPr>
    </w:p>
    <w:p w14:paraId="4B000000">
      <w:pPr>
        <w:widowControl w:val="0"/>
        <w:ind/>
        <w:jc w:val="right"/>
      </w:pPr>
    </w:p>
    <w:p w14:paraId="4C000000">
      <w:pPr>
        <w:widowControl w:val="0"/>
        <w:ind/>
        <w:jc w:val="right"/>
      </w:pPr>
    </w:p>
    <w:p w14:paraId="4D000000">
      <w:pPr>
        <w:widowControl w:val="0"/>
        <w:ind/>
        <w:jc w:val="right"/>
      </w:pPr>
    </w:p>
    <w:p w14:paraId="4E000000">
      <w:pPr>
        <w:widowControl w:val="0"/>
        <w:ind/>
        <w:jc w:val="right"/>
      </w:pPr>
    </w:p>
    <w:p w14:paraId="4F000000">
      <w:pPr>
        <w:widowControl w:val="0"/>
        <w:ind/>
        <w:jc w:val="right"/>
      </w:pPr>
    </w:p>
    <w:p w14:paraId="50000000">
      <w:pPr>
        <w:widowControl w:val="0"/>
        <w:ind/>
        <w:jc w:val="right"/>
      </w:pPr>
    </w:p>
    <w:p w14:paraId="51000000">
      <w:pPr>
        <w:widowControl w:val="0"/>
        <w:ind/>
        <w:jc w:val="right"/>
      </w:pPr>
      <w:r>
        <w:t xml:space="preserve">Приложение </w:t>
      </w:r>
    </w:p>
    <w:p w14:paraId="52000000">
      <w:pPr>
        <w:widowControl w:val="0"/>
        <w:ind/>
        <w:jc w:val="right"/>
      </w:pPr>
      <w:r>
        <w:t>к постановлению Региональной службы</w:t>
      </w:r>
    </w:p>
    <w:p w14:paraId="53000000">
      <w:pPr>
        <w:widowControl w:val="0"/>
        <w:ind/>
        <w:jc w:val="right"/>
        <w:rPr>
          <w:sz w:val="20"/>
        </w:rPr>
      </w:pPr>
      <w:r>
        <w:t>по тарифам Ростовской области</w:t>
      </w:r>
      <w:r>
        <w:rPr>
          <w:sz w:val="20"/>
        </w:rPr>
        <w:t xml:space="preserve"> </w:t>
      </w:r>
    </w:p>
    <w:p w14:paraId="54000000">
      <w:pPr>
        <w:widowControl w:val="0"/>
        <w:ind/>
        <w:jc w:val="right"/>
        <w:rPr>
          <w:sz w:val="32"/>
        </w:rPr>
      </w:pPr>
      <w:r>
        <w:t xml:space="preserve">от 31.10.2024 № </w:t>
      </w:r>
      <w:r>
        <w:t>400</w:t>
      </w:r>
      <w:bookmarkStart w:id="1" w:name="_GoBack"/>
      <w:bookmarkEnd w:id="1"/>
    </w:p>
    <w:p w14:paraId="55000000">
      <w:pPr>
        <w:widowControl w:val="0"/>
        <w:ind/>
        <w:jc w:val="both"/>
        <w:rPr>
          <w:sz w:val="16"/>
        </w:rPr>
      </w:pPr>
    </w:p>
    <w:p w14:paraId="56000000">
      <w:pPr>
        <w:widowControl w:val="0"/>
        <w:ind/>
        <w:jc w:val="center"/>
        <w:rPr>
          <w:b w:val="1"/>
        </w:rPr>
      </w:pPr>
    </w:p>
    <w:p w14:paraId="57000000">
      <w:pPr>
        <w:widowControl w:val="0"/>
        <w:ind/>
        <w:jc w:val="center"/>
        <w:rPr>
          <w:b w:val="1"/>
        </w:rPr>
      </w:pPr>
    </w:p>
    <w:p w14:paraId="58000000">
      <w:pPr>
        <w:widowControl w:val="0"/>
        <w:ind/>
        <w:jc w:val="center"/>
        <w:rPr>
          <w:b w:val="1"/>
        </w:rPr>
      </w:pPr>
    </w:p>
    <w:p w14:paraId="59000000">
      <w:pPr>
        <w:widowControl w:val="0"/>
        <w:ind/>
        <w:jc w:val="center"/>
        <w:rPr>
          <w:b w:val="1"/>
        </w:rPr>
      </w:pPr>
      <w:r>
        <w:rPr>
          <w:b w:val="1"/>
        </w:rPr>
        <w:t xml:space="preserve">ПРОИЗВОДСТВЕННАЯ ПРОГРАММА </w:t>
      </w:r>
    </w:p>
    <w:p w14:paraId="5A000000">
      <w:pPr>
        <w:widowControl w:val="0"/>
        <w:ind/>
        <w:jc w:val="center"/>
        <w:rPr>
          <w:b w:val="1"/>
        </w:rPr>
      </w:pPr>
      <w:r>
        <w:rPr>
          <w:b w:val="1"/>
        </w:rPr>
        <w:t>в области обращения с твердыми коммунальными отходами (далее – ТКО)</w:t>
      </w:r>
    </w:p>
    <w:p w14:paraId="5B000000">
      <w:pPr>
        <w:widowControl w:val="0"/>
        <w:ind/>
        <w:jc w:val="center"/>
        <w:rPr>
          <w:color w:val="0000FF"/>
        </w:rPr>
      </w:pPr>
      <w:r>
        <w:t>ООО</w:t>
      </w:r>
      <w:r>
        <w:t xml:space="preserve"> «КХ»</w:t>
      </w:r>
      <w:r>
        <w:t>,</w:t>
      </w:r>
      <w:r>
        <w:t xml:space="preserve"> г. Зверево Ростовской области, на 2023-2027 годы</w:t>
      </w:r>
    </w:p>
    <w:p w14:paraId="5C000000">
      <w:pPr>
        <w:widowControl w:val="0"/>
        <w:ind w:firstLine="540" w:left="0"/>
        <w:jc w:val="both"/>
        <w:rPr>
          <w:b w:val="1"/>
          <w:sz w:val="16"/>
        </w:rPr>
      </w:pPr>
    </w:p>
    <w:p w14:paraId="5D000000">
      <w:pPr>
        <w:widowControl w:val="0"/>
        <w:ind w:firstLine="540" w:left="0"/>
        <w:jc w:val="both"/>
        <w:rPr>
          <w:b w:val="1"/>
        </w:rPr>
      </w:pPr>
    </w:p>
    <w:p w14:paraId="5E000000">
      <w:pPr>
        <w:widowControl w:val="0"/>
        <w:ind w:firstLine="540" w:left="0"/>
        <w:jc w:val="both"/>
      </w:pPr>
      <w:r>
        <w:rPr>
          <w:b w:val="1"/>
        </w:rPr>
        <w:t>1. Паспорт производственной программы</w:t>
      </w:r>
    </w:p>
    <w:p w14:paraId="5F000000">
      <w:pPr>
        <w:widowControl w:val="0"/>
        <w:ind/>
        <w:rPr>
          <w:sz w:val="16"/>
        </w:rPr>
      </w:pPr>
    </w:p>
    <w:tbl>
      <w:tblPr>
        <w:tblStyle w:val="Style_1"/>
        <w:tblInd w:type="dxa" w:w="7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75"/>
          <w:right w:type="dxa" w:w="75"/>
        </w:tblCellMar>
      </w:tblPr>
      <w:tblGrid>
        <w:gridCol w:w="3667"/>
        <w:gridCol w:w="5783"/>
      </w:tblGrid>
      <w:tr>
        <w:trPr>
          <w:trHeight w:hRule="atLeast" w:val="900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0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Наименование регулируемой организации, ее местонахождение, контакты ответственных лиц 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1000000">
            <w:pPr>
              <w:rPr>
                <w:sz w:val="20"/>
              </w:rPr>
            </w:pPr>
            <w:r>
              <w:rPr>
                <w:sz w:val="20"/>
              </w:rPr>
              <w:t>Общество с ограниченной ответственностью</w:t>
            </w:r>
            <w:r>
              <w:rPr>
                <w:sz w:val="20"/>
              </w:rPr>
              <w:t xml:space="preserve"> «Ко</w:t>
            </w:r>
            <w:r>
              <w:rPr>
                <w:sz w:val="20"/>
              </w:rPr>
              <w:t>ммунальное хозяйство»</w:t>
            </w:r>
            <w:r>
              <w:rPr>
                <w:sz w:val="20"/>
              </w:rPr>
              <w:t xml:space="preserve">, </w:t>
            </w:r>
          </w:p>
          <w:p w14:paraId="62000000">
            <w:pPr>
              <w:tabs>
                <w:tab w:leader="underscore" w:pos="8717" w:val="left"/>
              </w:tabs>
              <w:ind/>
              <w:rPr>
                <w:sz w:val="20"/>
              </w:rPr>
            </w:pPr>
            <w:r>
              <w:rPr>
                <w:sz w:val="20"/>
              </w:rPr>
              <w:t>ул. Рижская, 13, г. Зверево, Ростовская область, 346311</w:t>
            </w:r>
          </w:p>
          <w:p w14:paraId="63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тел.:  (86355) 4-19-90</w:t>
            </w:r>
          </w:p>
        </w:tc>
      </w:tr>
      <w:tr>
        <w:trPr>
          <w:trHeight w:hRule="atLeast" w:val="888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4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Наименование уполномоченного органа, утвердившего производственную программу, его местонахождение, контакты ответственных лиц 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5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Региональная служба по тарифам Ростовской области </w:t>
            </w:r>
          </w:p>
          <w:p w14:paraId="66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пр. Кировский, 40а, г. Ростов-на-Дону</w:t>
            </w:r>
          </w:p>
          <w:p w14:paraId="67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тел.: (863) 263-50-55</w:t>
            </w:r>
          </w:p>
        </w:tc>
      </w:tr>
      <w:tr>
        <w:trPr>
          <w:trHeight w:hRule="atLeast" w:val="480"/>
        </w:trPr>
        <w:tc>
          <w:tcPr>
            <w:tcW w:type="dxa" w:w="3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8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Период реализации производственной программы</w:t>
            </w:r>
          </w:p>
        </w:tc>
        <w:tc>
          <w:tcPr>
            <w:tcW w:type="dxa" w:w="57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69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2023-2027 годы</w:t>
            </w:r>
          </w:p>
        </w:tc>
      </w:tr>
    </w:tbl>
    <w:p w14:paraId="6A000000">
      <w:pPr>
        <w:widowControl w:val="0"/>
        <w:ind/>
        <w:jc w:val="both"/>
        <w:rPr>
          <w:sz w:val="16"/>
        </w:rPr>
      </w:pPr>
    </w:p>
    <w:p w14:paraId="6B000000">
      <w:pPr>
        <w:widowControl w:val="0"/>
        <w:ind w:firstLine="540" w:left="0"/>
        <w:jc w:val="both"/>
        <w:rPr>
          <w:b w:val="1"/>
        </w:rPr>
      </w:pPr>
    </w:p>
    <w:p w14:paraId="6C00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 xml:space="preserve">2. Планируемый объем обрабатываемых, обезвреживаемых и размещаемых твердых коммунальных отходов </w:t>
      </w:r>
    </w:p>
    <w:p w14:paraId="6D000000">
      <w:pPr>
        <w:widowControl w:val="0"/>
        <w:ind w:firstLine="540" w:left="0"/>
        <w:jc w:val="both"/>
        <w:rPr>
          <w:b w:val="1"/>
        </w:rPr>
      </w:pPr>
    </w:p>
    <w:tbl>
      <w:tblPr>
        <w:tblStyle w:val="Style_1"/>
        <w:tblInd w:type="dxa" w:w="96"/>
        <w:tblLayout w:type="fixed"/>
      </w:tblPr>
      <w:tblGrid>
        <w:gridCol w:w="574"/>
        <w:gridCol w:w="2389"/>
        <w:gridCol w:w="1124"/>
        <w:gridCol w:w="1014"/>
        <w:gridCol w:w="1124"/>
        <w:gridCol w:w="984"/>
        <w:gridCol w:w="1124"/>
        <w:gridCol w:w="1064"/>
      </w:tblGrid>
      <w:tr>
        <w:trPr>
          <w:trHeight w:hRule="atLeast" w:val="297"/>
        </w:trPr>
        <w:tc>
          <w:tcPr>
            <w:tcW w:type="dxa" w:w="5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238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112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531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Период регулирования</w:t>
            </w:r>
          </w:p>
        </w:tc>
      </w:tr>
      <w:tr>
        <w:trPr>
          <w:trHeight w:hRule="atLeast" w:val="303"/>
        </w:trPr>
        <w:tc>
          <w:tcPr>
            <w:tcW w:type="dxa" w:w="5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238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2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1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E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0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1000000">
            <w:pPr>
              <w:ind/>
              <w:jc w:val="center"/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2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06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5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3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1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9000000">
            <w:pPr>
              <w:ind/>
              <w:jc w:val="center"/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0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  <w:tc>
          <w:tcPr>
            <w:tcW w:type="dxa" w:w="11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</w:pPr>
            <w:r>
              <w:rPr>
                <w:sz w:val="20"/>
              </w:rPr>
              <w:t>8,50</w:t>
            </w:r>
          </w:p>
        </w:tc>
        <w:tc>
          <w:tcPr>
            <w:tcW w:type="dxa" w:w="98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</w:pPr>
            <w:r>
              <w:rPr>
                <w:sz w:val="20"/>
              </w:rPr>
              <w:t>7,67</w:t>
            </w:r>
          </w:p>
        </w:tc>
        <w:tc>
          <w:tcPr>
            <w:tcW w:type="dxa" w:w="11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</w:pPr>
            <w:r>
              <w:rPr>
                <w:sz w:val="20"/>
              </w:rPr>
              <w:t>7,12</w:t>
            </w:r>
          </w:p>
        </w:tc>
        <w:tc>
          <w:tcPr>
            <w:tcW w:type="dxa" w:w="106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ind/>
              <w:jc w:val="center"/>
            </w:pPr>
            <w:r>
              <w:rPr>
                <w:sz w:val="20"/>
              </w:rPr>
              <w:t>7,12</w:t>
            </w:r>
          </w:p>
        </w:tc>
      </w:tr>
    </w:tbl>
    <w:p w14:paraId="8F000000">
      <w:pPr>
        <w:widowControl w:val="0"/>
        <w:ind w:firstLine="540" w:left="0"/>
        <w:jc w:val="both"/>
        <w:rPr>
          <w:b w:val="1"/>
        </w:rPr>
      </w:pPr>
    </w:p>
    <w:p w14:paraId="90000000">
      <w:pPr>
        <w:widowControl w:val="0"/>
        <w:ind w:firstLine="540" w:left="0"/>
        <w:jc w:val="both"/>
        <w:rPr>
          <w:b w:val="1"/>
        </w:rPr>
      </w:pPr>
    </w:p>
    <w:p w14:paraId="9100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>3. Объем финансовых потребностей, необходимых для реализации производственной программ</w:t>
      </w:r>
      <w:r>
        <w:rPr>
          <w:b w:val="1"/>
        </w:rPr>
        <w:t>ы</w:t>
      </w:r>
    </w:p>
    <w:p w14:paraId="92000000">
      <w:pPr>
        <w:widowControl w:val="0"/>
        <w:ind w:firstLine="540" w:left="0"/>
        <w:jc w:val="both"/>
        <w:rPr>
          <w:b w:val="1"/>
        </w:rPr>
      </w:pPr>
    </w:p>
    <w:tbl>
      <w:tblPr>
        <w:tblStyle w:val="Style_1"/>
        <w:tblInd w:type="dxa" w:w="75"/>
        <w:tblLayout w:type="fixed"/>
        <w:tblCellMar>
          <w:left w:type="dxa" w:w="75"/>
          <w:right w:type="dxa" w:w="75"/>
        </w:tblCellMar>
      </w:tblPr>
      <w:tblGrid>
        <w:gridCol w:w="3385"/>
        <w:gridCol w:w="988"/>
        <w:gridCol w:w="987"/>
        <w:gridCol w:w="1128"/>
        <w:gridCol w:w="987"/>
        <w:gridCol w:w="987"/>
        <w:gridCol w:w="988"/>
      </w:tblGrid>
      <w:tr>
        <w:trPr>
          <w:trHeight w:hRule="atLeast" w:val="248"/>
        </w:trPr>
        <w:tc>
          <w:tcPr>
            <w:tcW w:type="dxa" w:w="33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9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507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Период регулирования </w:t>
            </w:r>
          </w:p>
        </w:tc>
      </w:tr>
      <w:tr>
        <w:trPr>
          <w:trHeight w:hRule="atLeast" w:val="142"/>
        </w:trPr>
        <w:tc>
          <w:tcPr>
            <w:tcW w:type="dxa" w:w="33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9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8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9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A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358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B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Обработка ТКО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C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D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E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9F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0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1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380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2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3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4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5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6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7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800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408"/>
        </w:trPr>
        <w:tc>
          <w:tcPr>
            <w:tcW w:type="dxa" w:w="33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9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C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D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E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AF00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B0000000">
      <w:pPr>
        <w:widowControl w:val="0"/>
        <w:ind w:firstLine="540" w:left="0"/>
        <w:jc w:val="both"/>
        <w:rPr>
          <w:sz w:val="16"/>
        </w:rPr>
      </w:pPr>
    </w:p>
    <w:p w14:paraId="B1000000"/>
    <w:p w14:paraId="B2000000">
      <w:pPr>
        <w:sectPr>
          <w:pgSz w:h="16838" w:orient="portrait" w:w="11906"/>
          <w:pgMar w:bottom="1134" w:footer="709" w:gutter="0" w:header="709" w:left="1701" w:right="624" w:top="1134"/>
        </w:sectPr>
      </w:pPr>
    </w:p>
    <w:p w14:paraId="B3000000">
      <w:pPr>
        <w:widowControl w:val="0"/>
        <w:ind w:firstLine="540" w:left="0" w:right="252"/>
        <w:jc w:val="both"/>
        <w:rPr>
          <w:b w:val="1"/>
        </w:rPr>
      </w:pPr>
      <w:r>
        <w:rPr>
          <w:b w:val="1"/>
        </w:rPr>
        <w:t>4. Перечень и график реализации мероприятий производственной программы</w:t>
      </w:r>
    </w:p>
    <w:tbl>
      <w:tblPr>
        <w:tblStyle w:val="Style_1"/>
        <w:tblLayout w:type="fixed"/>
        <w:tblCellMar>
          <w:left w:type="dxa" w:w="0"/>
          <w:right w:type="dxa" w:w="0"/>
        </w:tblCellMar>
      </w:tblPr>
      <w:tblGrid>
        <w:gridCol w:w="430"/>
        <w:gridCol w:w="3408"/>
        <w:gridCol w:w="992"/>
        <w:gridCol w:w="1134"/>
        <w:gridCol w:w="992"/>
        <w:gridCol w:w="1134"/>
        <w:gridCol w:w="992"/>
        <w:gridCol w:w="1134"/>
        <w:gridCol w:w="993"/>
        <w:gridCol w:w="1134"/>
        <w:gridCol w:w="992"/>
        <w:gridCol w:w="1134"/>
      </w:tblGrid>
      <w:tr>
        <w:trPr>
          <w:trHeight w:hRule="atLeast" w:val="130"/>
        </w:trPr>
        <w:tc>
          <w:tcPr>
            <w:tcW w:type="dxa" w:w="430"/>
            <w:vMerge w:val="restart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3408"/>
            <w:vMerge w:val="restart"/>
            <w:tcBorders>
              <w:top w:color="000000" w:sz="8" w:val="single"/>
              <w:left w:color="000000" w:sz="8" w:val="single"/>
              <w:bottom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type="dxa" w:w="1063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Период регулирования       </w:t>
            </w:r>
          </w:p>
        </w:tc>
      </w:tr>
      <w:tr>
        <w:trPr>
          <w:trHeight w:hRule="atLeast" w:val="248"/>
        </w:trPr>
        <w:tc>
          <w:tcPr>
            <w:tcW w:type="dxa" w:w="43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40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900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21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A00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B00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464"/>
        </w:trPr>
        <w:tc>
          <w:tcPr>
            <w:tcW w:type="dxa" w:w="430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408"/>
            <w:gridSpan w:val="1"/>
            <w:vMerge w:val="continue"/>
            <w:tcBorders>
              <w:top w:color="000000" w:sz="8" w:val="single"/>
              <w:left w:color="000000" w:sz="8" w:val="single"/>
              <w:bottom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C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BD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BE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BF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C0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C1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C2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C3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C4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C5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C6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C7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C8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C9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CA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CB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CC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CD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Финансовые </w:t>
            </w:r>
          </w:p>
          <w:p w14:paraId="CE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средства, </w:t>
            </w:r>
          </w:p>
          <w:p w14:paraId="CF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руб.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0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График </w:t>
            </w:r>
          </w:p>
          <w:p w14:paraId="D1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реализации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2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Финансовые</w:t>
            </w:r>
          </w:p>
          <w:p w14:paraId="D3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средства,</w:t>
            </w:r>
          </w:p>
          <w:p w14:paraId="D4000000">
            <w:pPr>
              <w:spacing w:line="192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тыс. руб.</w:t>
            </w:r>
          </w:p>
        </w:tc>
      </w:tr>
      <w:tr>
        <w:trPr>
          <w:trHeight w:hRule="atLeast" w:val="176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DF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000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0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E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39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0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E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F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3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0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00000">
            <w:pPr>
              <w:widowControl w:val="0"/>
              <w:ind/>
              <w:rPr>
                <w:b w:val="1"/>
                <w:sz w:val="22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3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401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0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exact" w:val="233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1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кап.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1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19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D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E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0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1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7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28010000">
            <w:pPr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A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exact" w:val="397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10000">
            <w:pPr>
              <w:widowControl w:val="0"/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3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264"/>
        </w:trPr>
        <w:tc>
          <w:tcPr>
            <w:tcW w:type="dxa" w:w="430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4101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340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42010000">
            <w:pPr>
              <w:rPr>
                <w:sz w:val="20"/>
              </w:rPr>
            </w:pPr>
            <w:r>
              <w:rPr>
                <w:sz w:val="20"/>
              </w:rPr>
              <w:t>Итого, тыс. руб.: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5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7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6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2126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left w:type="dxa" w:w="0"/>
              <w:right w:type="dxa" w:w="0"/>
            </w:tcMar>
          </w:tcPr>
          <w:p w14:paraId="47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48010000">
      <w:pPr>
        <w:widowControl w:val="0"/>
        <w:ind w:firstLine="540" w:left="0"/>
        <w:jc w:val="both"/>
        <w:rPr>
          <w:b w:val="1"/>
          <w:sz w:val="22"/>
        </w:rPr>
      </w:pPr>
    </w:p>
    <w:p w14:paraId="49010000">
      <w:pPr>
        <w:widowControl w:val="0"/>
        <w:ind w:firstLine="540" w:left="0"/>
        <w:jc w:val="both"/>
        <w:rPr>
          <w:b w:val="1"/>
          <w:sz w:val="18"/>
        </w:rPr>
      </w:pPr>
      <w:r>
        <w:rPr>
          <w:b w:val="1"/>
        </w:rPr>
        <w:t xml:space="preserve">5. Плановые и фактические значения показателей эффективности объектов </w:t>
      </w:r>
    </w:p>
    <w:tbl>
      <w:tblPr>
        <w:tblStyle w:val="Style_1"/>
        <w:tblInd w:type="dxa" w:w="5"/>
        <w:tblLayout w:type="fixed"/>
        <w:tblCellMar>
          <w:left w:type="dxa" w:w="0"/>
          <w:right w:type="dxa" w:w="0"/>
        </w:tblCellMar>
      </w:tblPr>
      <w:tblGrid>
        <w:gridCol w:w="426"/>
        <w:gridCol w:w="6554"/>
        <w:gridCol w:w="645"/>
        <w:gridCol w:w="850"/>
        <w:gridCol w:w="851"/>
        <w:gridCol w:w="870"/>
        <w:gridCol w:w="993"/>
        <w:gridCol w:w="1134"/>
        <w:gridCol w:w="992"/>
        <w:gridCol w:w="1134"/>
      </w:tblGrid>
      <w:tr>
        <w:trPr>
          <w:trHeight w:hRule="atLeast" w:val="354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4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65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4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type="dxa" w:w="6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4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Ед. </w:t>
            </w:r>
          </w:p>
          <w:p w14:paraId="4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type="dxa" w:w="2571"/>
            <w:gridSpan w:val="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4E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Фактические значения показателей эффективности</w:t>
            </w:r>
          </w:p>
        </w:tc>
        <w:tc>
          <w:tcPr>
            <w:tcW w:type="dxa" w:w="4253"/>
            <w:gridSpan w:val="4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4F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Плановые значения показателей эффективности </w:t>
            </w:r>
          </w:p>
          <w:p w14:paraId="50010000">
            <w:pPr>
              <w:spacing w:line="216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 период регулирования</w:t>
            </w:r>
          </w:p>
        </w:tc>
      </w:tr>
      <w:tr>
        <w:trPr>
          <w:trHeight w:hRule="atLeast" w:val="249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65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6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5010000">
            <w:pPr>
              <w:ind/>
              <w:jc w:val="center"/>
            </w:pPr>
            <w:r>
              <w:rPr>
                <w:sz w:val="20"/>
              </w:rPr>
              <w:t>2025 год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6010000">
            <w:pPr>
              <w:ind/>
              <w:jc w:val="center"/>
            </w:pPr>
            <w:r>
              <w:rPr>
                <w:sz w:val="20"/>
              </w:rPr>
              <w:t>2026 год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57010000">
            <w:pPr>
              <w:ind/>
              <w:jc w:val="center"/>
            </w:pPr>
            <w:r>
              <w:rPr>
                <w:sz w:val="20"/>
              </w:rPr>
              <w:t>2027 год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59010000">
            <w:pPr>
              <w:rPr>
                <w:sz w:val="20"/>
              </w:rPr>
            </w:pPr>
            <w:r>
              <w:rPr>
                <w:sz w:val="20"/>
              </w:rPr>
              <w:t>Захоронение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5A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B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C010000">
            <w:pPr>
              <w:rPr>
                <w:sz w:val="20"/>
              </w:rPr>
            </w:pP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5D010000">
            <w:pPr>
              <w:rPr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5E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5F010000">
            <w:pPr>
              <w:rPr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0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61010000">
            <w:pPr>
              <w:rPr>
                <w:sz w:val="20"/>
              </w:rPr>
            </w:pPr>
          </w:p>
        </w:tc>
      </w:tr>
      <w:tr>
        <w:trPr>
          <w:trHeight w:hRule="atLeast" w:val="609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3010000">
            <w:pPr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проб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435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D010000">
            <w:pPr>
              <w:rPr>
                <w:sz w:val="20"/>
              </w:rPr>
            </w:pPr>
            <w:r>
              <w:rPr>
                <w:sz w:val="20"/>
              </w:rPr>
              <w:t>количество возгораний ТКО в расчете на единицу площади объекта захоронения ТКО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6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шт</w:t>
            </w:r>
            <w:r>
              <w:rPr>
                <w:sz w:val="20"/>
              </w:rPr>
              <w:t>/га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6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7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77010000">
            <w:pPr>
              <w:rPr>
                <w:sz w:val="20"/>
              </w:rPr>
            </w:pPr>
            <w:r>
              <w:rPr>
                <w:sz w:val="20"/>
              </w:rPr>
              <w:t>Обработка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78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9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10000">
            <w:pPr>
              <w:rPr>
                <w:sz w:val="20"/>
              </w:rPr>
            </w:pP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B010000">
            <w:pPr>
              <w:rPr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7C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7D010000">
            <w:pPr>
              <w:rPr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F010000">
            <w:pPr>
              <w:rPr>
                <w:sz w:val="20"/>
              </w:rPr>
            </w:pPr>
          </w:p>
        </w:tc>
      </w:tr>
      <w:tr>
        <w:trPr>
          <w:trHeight w:hRule="atLeast" w:val="34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1010000">
            <w:pPr>
              <w:rPr>
                <w:sz w:val="20"/>
              </w:rPr>
            </w:pPr>
            <w:r>
              <w:rPr>
                <w:sz w:val="20"/>
              </w:rPr>
              <w:t>доля ТКО, направляемых на утилизацию, в массе ТКО, принятых на обработку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8B010000">
            <w:pPr>
              <w:rPr>
                <w:sz w:val="20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8C010000">
            <w:pPr>
              <w:rPr>
                <w:sz w:val="20"/>
              </w:rPr>
            </w:pP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D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E010000">
            <w:pPr>
              <w:rPr>
                <w:sz w:val="20"/>
              </w:rPr>
            </w:pP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F010000">
            <w:pPr>
              <w:rPr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90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91010000">
            <w:pPr>
              <w:rPr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2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3010000">
            <w:pPr>
              <w:rPr>
                <w:sz w:val="20"/>
              </w:rPr>
            </w:pPr>
          </w:p>
        </w:tc>
      </w:tr>
      <w:tr>
        <w:trPr>
          <w:trHeight w:hRule="atLeast" w:val="27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9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65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95010000">
            <w:pPr>
              <w:rPr>
                <w:sz w:val="20"/>
              </w:rPr>
            </w:pPr>
            <w:r>
              <w:rPr>
                <w:sz w:val="20"/>
              </w:rPr>
              <w:t>показатель снижения класса опасности ТКО</w:t>
            </w:r>
          </w:p>
        </w:tc>
        <w:tc>
          <w:tcPr>
            <w:tcW w:type="dxa" w:w="64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9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7010000">
            <w:pPr>
              <w:rPr>
                <w:sz w:val="20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8010000">
            <w:pPr>
              <w:rPr>
                <w:sz w:val="20"/>
              </w:rPr>
            </w:pP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9010000">
            <w:pPr>
              <w:rPr>
                <w:sz w:val="20"/>
              </w:rPr>
            </w:pP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9A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bottom"/>
          </w:tcPr>
          <w:p w14:paraId="9B010000">
            <w:pPr>
              <w:rPr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C010000">
            <w:pPr>
              <w:rPr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D010000">
            <w:pPr>
              <w:rPr>
                <w:sz w:val="20"/>
              </w:rPr>
            </w:pPr>
          </w:p>
        </w:tc>
      </w:tr>
      <w:tr>
        <w:trPr>
          <w:trHeight w:hRule="atLeast" w:val="587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9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9F010000">
            <w:pPr>
              <w:spacing w:line="216" w:lineRule="auto"/>
              <w:ind/>
              <w:rPr>
                <w:sz w:val="20"/>
              </w:rPr>
            </w:pPr>
            <w:r>
              <w:rPr>
                <w:sz w:val="20"/>
              </w:rPr>
              <w:t>количество выработанной и отпущенной в сеть тепловой и электрической энергии, топлива, полученного из ТКО, в расчете на 1 тонну ТКО, поступивших на объект обезвреживания ТКО</w:t>
            </w:r>
          </w:p>
        </w:tc>
        <w:tc>
          <w:tcPr>
            <w:tcW w:type="dxa" w:w="6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A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Дж/</w:t>
            </w:r>
            <w:r>
              <w:rPr>
                <w:sz w:val="20"/>
              </w:rPr>
              <w:t>тн</w:t>
            </w:r>
            <w:r>
              <w:rPr>
                <w:sz w:val="20"/>
              </w:rPr>
              <w:t xml:space="preserve">, </w:t>
            </w:r>
          </w:p>
          <w:p w14:paraId="A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кг/</w:t>
            </w:r>
            <w:r>
              <w:rPr>
                <w:sz w:val="20"/>
              </w:rPr>
              <w:t>тн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6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700"/>
        </w:trPr>
        <w:tc>
          <w:tcPr>
            <w:tcW w:type="dxa" w:w="4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A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type="dxa" w:w="65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AA010000">
            <w:pPr>
              <w:rPr>
                <w:sz w:val="20"/>
              </w:rPr>
            </w:pPr>
            <w:r>
              <w:rPr>
                <w:sz w:val="20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установленным требованиям, в общем объеме таких проб</w:t>
            </w:r>
          </w:p>
        </w:tc>
        <w:tc>
          <w:tcPr>
            <w:tcW w:type="dxa" w:w="64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  <w:vAlign w:val="center"/>
          </w:tcPr>
          <w:p w14:paraId="A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B3010000">
      <w:pPr>
        <w:sectPr>
          <w:pgSz w:h="11906" w:orient="landscape" w:w="16838"/>
          <w:pgMar w:bottom="624" w:footer="709" w:gutter="0" w:header="709" w:left="1134" w:right="1134" w:top="1701"/>
        </w:sectPr>
      </w:pPr>
    </w:p>
    <w:p w14:paraId="B4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>6. Отчет об исполнении производственной программы за истекший период регулирования (за истекший год долгосрочного периода регулирования)</w:t>
      </w:r>
    </w:p>
    <w:p w14:paraId="B5010000">
      <w:pPr>
        <w:widowControl w:val="0"/>
        <w:ind w:firstLine="540" w:left="0"/>
        <w:jc w:val="both"/>
        <w:rPr>
          <w:b w:val="1"/>
          <w:sz w:val="20"/>
        </w:rPr>
      </w:pPr>
    </w:p>
    <w:p w14:paraId="B6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 xml:space="preserve">6.1. Объем твердых коммунальных отходов </w:t>
      </w:r>
    </w:p>
    <w:tbl>
      <w:tblPr>
        <w:tblStyle w:val="Style_1"/>
        <w:tblInd w:type="dxa" w:w="96"/>
        <w:tblLayout w:type="fixed"/>
      </w:tblPr>
      <w:tblGrid>
        <w:gridCol w:w="557"/>
        <w:gridCol w:w="3170"/>
        <w:gridCol w:w="1701"/>
        <w:gridCol w:w="1984"/>
        <w:gridCol w:w="1985"/>
      </w:tblGrid>
      <w:tr>
        <w:trPr>
          <w:trHeight w:hRule="atLeast" w:val="297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Вид регулируемой деятельности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Ед. изм.</w:t>
            </w:r>
          </w:p>
        </w:tc>
        <w:tc>
          <w:tcPr>
            <w:tcW w:type="dxa" w:w="3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</w:tr>
      <w:tr>
        <w:trPr>
          <w:trHeight w:hRule="atLeast" w:val="528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</w:tr>
      <w:tr>
        <w:trPr>
          <w:trHeight w:hRule="atLeast" w:val="284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E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0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10000">
            <w:pPr>
              <w:ind/>
              <w:jc w:val="center"/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6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Обезвреживание ТКО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7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70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A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46"/>
        </w:trPr>
        <w:tc>
          <w:tcPr>
            <w:tcW w:type="dxa" w:w="55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31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E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Захоронение ТКО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куб. м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0010000">
            <w:pPr>
              <w:ind/>
              <w:jc w:val="center"/>
            </w:pPr>
            <w:r>
              <w:t>-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hRule="atLeast" w:val="284"/>
        </w:trPr>
        <w:tc>
          <w:tcPr>
            <w:tcW w:type="dxa" w:w="55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31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тыс. тонн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7,12</w:t>
            </w:r>
          </w:p>
        </w:tc>
        <w:tc>
          <w:tcPr>
            <w:tcW w:type="dxa" w:w="198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7,46</w:t>
            </w:r>
          </w:p>
        </w:tc>
      </w:tr>
    </w:tbl>
    <w:p w14:paraId="D5010000">
      <w:pPr>
        <w:widowControl w:val="0"/>
        <w:ind w:firstLine="540" w:left="0"/>
        <w:jc w:val="both"/>
        <w:rPr>
          <w:b w:val="1"/>
        </w:rPr>
      </w:pPr>
    </w:p>
    <w:p w14:paraId="D6010000">
      <w:pPr>
        <w:widowControl w:val="0"/>
        <w:ind w:firstLine="540" w:left="0"/>
        <w:jc w:val="both"/>
        <w:rPr>
          <w:b w:val="1"/>
        </w:rPr>
      </w:pPr>
    </w:p>
    <w:p w14:paraId="D7010000">
      <w:pPr>
        <w:widowControl w:val="0"/>
        <w:ind w:firstLine="540" w:left="0"/>
        <w:jc w:val="both"/>
        <w:rPr>
          <w:b w:val="1"/>
        </w:rPr>
      </w:pPr>
      <w:r>
        <w:rPr>
          <w:b w:val="1"/>
        </w:rPr>
        <w:t>6.2. Перечень мероприятий производственной программы</w:t>
      </w:r>
    </w:p>
    <w:tbl>
      <w:tblPr>
        <w:tblStyle w:val="Style_1"/>
        <w:tblInd w:type="dxa" w:w="137"/>
        <w:tblLayout w:type="fixed"/>
        <w:tblCellMar>
          <w:left w:type="dxa" w:w="75"/>
          <w:right w:type="dxa" w:w="75"/>
        </w:tblCellMar>
      </w:tblPr>
      <w:tblGrid>
        <w:gridCol w:w="567"/>
        <w:gridCol w:w="4820"/>
        <w:gridCol w:w="1984"/>
        <w:gridCol w:w="1985"/>
      </w:tblGrid>
      <w:tr>
        <w:trPr>
          <w:trHeight w:hRule="atLeast" w:val="252"/>
        </w:trPr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type="dxa" w:w="482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мероприятия</w:t>
            </w:r>
          </w:p>
        </w:tc>
        <w:tc>
          <w:tcPr>
            <w:tcW w:type="dxa" w:w="3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A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Финансовые средства, тыс. руб.</w:t>
            </w:r>
          </w:p>
        </w:tc>
      </w:tr>
      <w:tr>
        <w:trPr>
          <w:trHeight w:hRule="atLeast" w:val="252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48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39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B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</w:tr>
      <w:tr>
        <w:trPr>
          <w:trHeight w:hRule="atLeast" w:val="130"/>
        </w:trPr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482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/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C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</w:tcPr>
          <w:p w14:paraId="DD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Факт</w:t>
            </w:r>
          </w:p>
        </w:tc>
      </w:tr>
      <w:tr>
        <w:tc>
          <w:tcPr>
            <w:tcW w:type="dxa" w:w="567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DF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 xml:space="preserve">Обработка ТКО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0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1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3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6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7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9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b w:val="1"/>
                <w:sz w:val="22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B010000">
            <w:pPr>
              <w:widowControl w:val="0"/>
              <w:ind/>
              <w:jc w:val="both"/>
              <w:rPr>
                <w:b w:val="1"/>
                <w:sz w:val="22"/>
              </w:rPr>
            </w:pPr>
            <w:r>
              <w:rPr>
                <w:sz w:val="20"/>
              </w:rPr>
              <w:t>Обезвреживание ТКО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C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D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EF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2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3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5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7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Захоронение ТКО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801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9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B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Текущая эксплуатация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D01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  <w:tr>
        <w:tc>
          <w:tcPr>
            <w:tcW w:type="dxa" w:w="567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FE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FF010000">
            <w:pPr>
              <w:widowControl w:val="0"/>
              <w:ind/>
              <w:rPr>
                <w:sz w:val="20"/>
              </w:rPr>
            </w:pPr>
            <w:r>
              <w:rPr>
                <w:sz w:val="20"/>
              </w:rPr>
              <w:t>Текущий и (или) капитальный ремонт объектов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0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1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sz w:val="20"/>
              </w:rPr>
            </w:pPr>
          </w:p>
        </w:tc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3020000">
            <w:pPr>
              <w:widowControl w:val="0"/>
              <w:ind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4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75"/>
              <w:right w:type="dxa" w:w="75"/>
            </w:tcMar>
            <w:vAlign w:val="center"/>
          </w:tcPr>
          <w:p w14:paraId="05020000">
            <w:pPr>
              <w:ind/>
              <w:jc w:val="center"/>
            </w:pPr>
            <w:r>
              <w:rPr>
                <w:sz w:val="20"/>
              </w:rPr>
              <w:t>0,0</w:t>
            </w:r>
          </w:p>
        </w:tc>
      </w:tr>
    </w:tbl>
    <w:p w14:paraId="06020000">
      <w:pPr>
        <w:widowControl w:val="0"/>
        <w:ind w:firstLine="540" w:left="0"/>
        <w:jc w:val="both"/>
      </w:pPr>
    </w:p>
    <w:sectPr>
      <w:pgSz w:h="16838" w:orient="portrait" w:w="11906"/>
      <w:pgMar w:bottom="1134" w:footer="709" w:gutter="0" w:header="709" w:left="1701" w:right="68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Balloon Text"/>
    <w:basedOn w:val="Style_5"/>
    <w:link w:val="Style_8_ch"/>
    <w:rPr>
      <w:rFonts w:ascii="Tahoma" w:hAnsi="Tahoma"/>
      <w:sz w:val="16"/>
    </w:rPr>
  </w:style>
  <w:style w:styleId="Style_8_ch" w:type="character">
    <w:name w:val="Balloon Text"/>
    <w:basedOn w:val="Style_5_ch"/>
    <w:link w:val="Style_8"/>
    <w:rPr>
      <w:rFonts w:ascii="Tahoma" w:hAnsi="Tahoma"/>
      <w:sz w:val="16"/>
    </w:rPr>
  </w:style>
  <w:style w:styleId="Style_3" w:type="paragraph">
    <w:name w:val="ConsPlusNormal"/>
    <w:link w:val="Style_3_ch"/>
    <w:pPr>
      <w:ind w:firstLine="720" w:left="0"/>
    </w:pPr>
    <w:rPr>
      <w:rFonts w:ascii="Arial" w:hAnsi="Arial"/>
    </w:rPr>
  </w:style>
  <w:style w:styleId="Style_3_ch" w:type="character">
    <w:name w:val="ConsPlusNormal"/>
    <w:link w:val="Style_3"/>
    <w:rPr>
      <w:rFonts w:ascii="Arial" w:hAnsi="Arial"/>
    </w:rPr>
  </w:style>
  <w:style w:styleId="Style_9" w:type="paragraph">
    <w:name w:val="toc 6"/>
    <w:next w:val="Style_5"/>
    <w:link w:val="Style_9_ch"/>
    <w:uiPriority w:val="39"/>
    <w:pPr>
      <w:ind w:firstLine="0"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сновной шрифт абзаца2"/>
    <w:link w:val="Style_11_ch"/>
  </w:style>
  <w:style w:styleId="Style_11_ch" w:type="character">
    <w:name w:val="Основной шрифт абзаца2"/>
    <w:link w:val="Style_11"/>
  </w:style>
  <w:style w:styleId="Style_12" w:type="paragraph">
    <w:name w:val="Знак концевой сноски1"/>
    <w:link w:val="Style_12_ch"/>
    <w:rPr>
      <w:vertAlign w:val="superscript"/>
    </w:rPr>
  </w:style>
  <w:style w:styleId="Style_12_ch" w:type="character">
    <w:name w:val="Знак концевой сноски1"/>
    <w:link w:val="Style_12"/>
    <w:rPr>
      <w:vertAlign w:val="superscript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Endnote"/>
    <w:basedOn w:val="Style_5"/>
    <w:link w:val="Style_14_ch"/>
    <w:rPr>
      <w:sz w:val="20"/>
    </w:rPr>
  </w:style>
  <w:style w:styleId="Style_14_ch" w:type="character">
    <w:name w:val="Endnote"/>
    <w:basedOn w:val="Style_5_ch"/>
    <w:link w:val="Style_14"/>
    <w:rPr>
      <w:sz w:val="20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Обычный1"/>
    <w:link w:val="Style_17_ch"/>
    <w:rPr>
      <w:sz w:val="24"/>
    </w:rPr>
  </w:style>
  <w:style w:styleId="Style_17_ch" w:type="character">
    <w:name w:val="Обычный1"/>
    <w:link w:val="Style_17"/>
    <w:rPr>
      <w:sz w:val="24"/>
    </w:rPr>
  </w:style>
  <w:style w:styleId="Style_18" w:type="paragraph">
    <w:name w:val="Гиперссылка3"/>
    <w:link w:val="Style_18_ch"/>
    <w:rPr>
      <w:color w:val="0000FF"/>
      <w:u w:val="single"/>
    </w:rPr>
  </w:style>
  <w:style w:styleId="Style_18_ch" w:type="character">
    <w:name w:val="Гиперссылка3"/>
    <w:link w:val="Style_18"/>
    <w:rPr>
      <w:color w:val="0000FF"/>
      <w:u w:val="single"/>
    </w:rPr>
  </w:style>
  <w:style w:styleId="Style_19" w:type="paragraph">
    <w:name w:val="toc 3"/>
    <w:next w:val="Style_5"/>
    <w:link w:val="Style_19_ch"/>
    <w:uiPriority w:val="39"/>
    <w:pPr>
      <w:ind w:firstLine="0" w:left="400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4" w:type="paragraph">
    <w:name w:val="Body Text Indent"/>
    <w:basedOn w:val="Style_5"/>
    <w:link w:val="Style_4_ch"/>
    <w:pPr>
      <w:spacing w:after="120"/>
      <w:ind w:firstLine="0" w:left="283"/>
    </w:pPr>
  </w:style>
  <w:style w:styleId="Style_4_ch" w:type="character">
    <w:name w:val="Body Text Indent"/>
    <w:basedOn w:val="Style_5_ch"/>
    <w:link w:val="Style_4"/>
  </w:style>
  <w:style w:styleId="Style_20" w:type="paragraph">
    <w:name w:val="Обычный1"/>
    <w:link w:val="Style_20_ch"/>
    <w:rPr>
      <w:sz w:val="24"/>
    </w:rPr>
  </w:style>
  <w:style w:styleId="Style_20_ch" w:type="character">
    <w:name w:val="Обычный1"/>
    <w:link w:val="Style_20"/>
    <w:rPr>
      <w:sz w:val="24"/>
    </w:rPr>
  </w:style>
  <w:style w:styleId="Style_21" w:type="paragraph">
    <w:name w:val="heading 5"/>
    <w:next w:val="Style_5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Обычный1"/>
    <w:link w:val="Style_22_ch"/>
    <w:rPr>
      <w:sz w:val="24"/>
    </w:rPr>
  </w:style>
  <w:style w:styleId="Style_22_ch" w:type="character">
    <w:name w:val="Обычный1"/>
    <w:link w:val="Style_22"/>
    <w:rPr>
      <w:sz w:val="24"/>
    </w:rPr>
  </w:style>
  <w:style w:styleId="Style_23" w:type="paragraph">
    <w:name w:val="heading 1"/>
    <w:next w:val="Style_5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" w:type="paragraph">
    <w:name w:val="ConsTitle"/>
    <w:link w:val="Style_2_ch"/>
    <w:pPr>
      <w:widowControl w:val="0"/>
      <w:ind/>
    </w:pPr>
    <w:rPr>
      <w:rFonts w:ascii="Arial" w:hAnsi="Arial"/>
      <w:b w:val="1"/>
      <w:sz w:val="16"/>
    </w:rPr>
  </w:style>
  <w:style w:styleId="Style_2_ch" w:type="character">
    <w:name w:val="ConsTitle"/>
    <w:link w:val="Style_2"/>
    <w:rPr>
      <w:rFonts w:ascii="Arial" w:hAnsi="Arial"/>
      <w:b w:val="1"/>
      <w:sz w:val="16"/>
    </w:rPr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basedOn w:val="Style_5"/>
    <w:link w:val="Style_25_ch"/>
    <w:rPr>
      <w:sz w:val="20"/>
    </w:rPr>
  </w:style>
  <w:style w:styleId="Style_25_ch" w:type="character">
    <w:name w:val="Footnote"/>
    <w:basedOn w:val="Style_5_ch"/>
    <w:link w:val="Style_25"/>
    <w:rPr>
      <w:sz w:val="20"/>
    </w:rPr>
  </w:style>
  <w:style w:styleId="Style_26" w:type="paragraph">
    <w:name w:val="toc 1"/>
    <w:next w:val="Style_5"/>
    <w:link w:val="Style_26_ch"/>
    <w:uiPriority w:val="39"/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ind/>
      <w:jc w:val="both"/>
    </w:pPr>
    <w:rPr>
      <w:rFonts w:ascii="XO Thames" w:hAnsi="XO Thames"/>
    </w:rPr>
  </w:style>
  <w:style w:styleId="Style_27_ch" w:type="character">
    <w:name w:val="Header and Footer"/>
    <w:link w:val="Style_27"/>
    <w:rPr>
      <w:rFonts w:ascii="XO Thames" w:hAnsi="XO Thames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styleId="Style_29" w:type="paragraph">
    <w:name w:val="toc 9"/>
    <w:next w:val="Style_5"/>
    <w:link w:val="Style_29_ch"/>
    <w:uiPriority w:val="39"/>
    <w:pPr>
      <w:ind w:firstLine="0" w:left="1600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Основной шрифт абзаца2"/>
    <w:link w:val="Style_30_ch"/>
  </w:style>
  <w:style w:styleId="Style_30_ch" w:type="character">
    <w:name w:val="Основной шрифт абзаца2"/>
    <w:link w:val="Style_30"/>
  </w:style>
  <w:style w:styleId="Style_31" w:type="paragraph">
    <w:name w:val="Гиперссылка2"/>
    <w:link w:val="Style_31_ch"/>
    <w:rPr>
      <w:color w:val="0000FF"/>
      <w:u w:val="single"/>
    </w:rPr>
  </w:style>
  <w:style w:styleId="Style_31_ch" w:type="character">
    <w:name w:val="Гиперссылка2"/>
    <w:link w:val="Style_31"/>
    <w:rPr>
      <w:color w:val="0000FF"/>
      <w:u w:val="single"/>
    </w:rPr>
  </w:style>
  <w:style w:styleId="Style_32" w:type="paragraph">
    <w:name w:val="toc 8"/>
    <w:next w:val="Style_5"/>
    <w:link w:val="Style_32_ch"/>
    <w:uiPriority w:val="39"/>
    <w:pPr>
      <w:ind w:firstLine="0" w:left="1400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Обычный1"/>
    <w:link w:val="Style_33_ch"/>
    <w:rPr>
      <w:sz w:val="24"/>
    </w:rPr>
  </w:style>
  <w:style w:styleId="Style_33_ch" w:type="character">
    <w:name w:val="Обычный1"/>
    <w:link w:val="Style_33"/>
    <w:rPr>
      <w:sz w:val="24"/>
    </w:rPr>
  </w:style>
  <w:style w:styleId="Style_34" w:type="paragraph">
    <w:name w:val="Знак сноски1"/>
    <w:link w:val="Style_34_ch"/>
    <w:rPr>
      <w:vertAlign w:val="superscript"/>
    </w:rPr>
  </w:style>
  <w:style w:styleId="Style_34_ch" w:type="character">
    <w:name w:val="Знак сноски1"/>
    <w:link w:val="Style_34"/>
    <w:rPr>
      <w:vertAlign w:val="superscript"/>
    </w:rPr>
  </w:style>
  <w:style w:styleId="Style_35" w:type="paragraph">
    <w:name w:val="toc 5"/>
    <w:next w:val="Style_5"/>
    <w:link w:val="Style_35_ch"/>
    <w:uiPriority w:val="39"/>
    <w:pPr>
      <w:ind w:firstLine="0" w:left="800"/>
    </w:pPr>
    <w:rPr>
      <w:rFonts w:ascii="XO Thames" w:hAnsi="XO Thames"/>
      <w:sz w:val="28"/>
    </w:rPr>
  </w:style>
  <w:style w:styleId="Style_35_ch" w:type="character">
    <w:name w:val="toc 5"/>
    <w:link w:val="Style_35"/>
    <w:rPr>
      <w:rFonts w:ascii="XO Thames" w:hAnsi="XO Thames"/>
      <w:sz w:val="28"/>
    </w:rPr>
  </w:style>
  <w:style w:styleId="Style_36" w:type="paragraph">
    <w:name w:val="Subtitle"/>
    <w:next w:val="Style_5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5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5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Основной шрифт абзаца3"/>
    <w:link w:val="Style_39_ch"/>
  </w:style>
  <w:style w:styleId="Style_39_ch" w:type="character">
    <w:name w:val="Основной шрифт абзаца3"/>
    <w:link w:val="Style_39"/>
  </w:style>
  <w:style w:styleId="Style_40" w:type="paragraph">
    <w:name w:val="heading 2"/>
    <w:next w:val="Style_5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paragraph">
    <w:name w:val="toc 10"/>
    <w:next w:val="Style_5"/>
    <w:link w:val="Style_41_ch"/>
    <w:pPr>
      <w:ind w:firstLine="0" w:left="1800"/>
    </w:pPr>
    <w:rPr>
      <w:rFonts w:ascii="XO Thames" w:hAnsi="XO Thames"/>
      <w:sz w:val="28"/>
    </w:rPr>
  </w:style>
  <w:style w:styleId="Style_41_ch" w:type="character">
    <w:name w:val="toc 10"/>
    <w:link w:val="Style_41"/>
    <w:rPr>
      <w:rFonts w:ascii="XO Thames" w:hAnsi="XO Thames"/>
      <w:sz w:val="28"/>
    </w:rPr>
  </w:style>
  <w:style w:styleId="Style_42" w:type="paragraph">
    <w:name w:val="Гиперссылка1"/>
    <w:link w:val="Style_42_ch"/>
    <w:rPr>
      <w:color w:val="0000FF"/>
      <w:u w:val="single"/>
    </w:rPr>
  </w:style>
  <w:style w:styleId="Style_42_ch" w:type="character">
    <w:name w:val="Гиперссылка1"/>
    <w:link w:val="Style_42"/>
    <w:rPr>
      <w:color w:val="0000FF"/>
      <w:u w:val="single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2024-11-06T09:06:55Z</dcterms:modified>
</cp:coreProperties>
</file>