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76" w:lineRule="auto"/>
        <w:ind/>
        <w:jc w:val="center"/>
        <w:rPr>
          <w:sz w:val="27"/>
        </w:rPr>
      </w:pPr>
      <w:r>
        <w:rPr>
          <w:sz w:val="27"/>
        </w:rPr>
        <w:t>Администрация</w:t>
      </w:r>
    </w:p>
    <w:p w14:paraId="04000000">
      <w:pPr>
        <w:spacing w:line="276" w:lineRule="auto"/>
        <w:ind/>
        <w:jc w:val="center"/>
        <w:rPr>
          <w:sz w:val="27"/>
        </w:rPr>
      </w:pPr>
      <w:r>
        <w:rPr>
          <w:sz w:val="27"/>
        </w:rPr>
        <w:t>города Зверево</w:t>
      </w:r>
    </w:p>
    <w:p w14:paraId="05000000">
      <w:pPr>
        <w:spacing w:line="276" w:lineRule="auto"/>
        <w:ind/>
        <w:jc w:val="center"/>
        <w:rPr>
          <w:sz w:val="27"/>
        </w:rPr>
      </w:pPr>
      <w:r>
        <w:rPr>
          <w:sz w:val="27"/>
        </w:rPr>
        <w:t>Ростовской области</w:t>
      </w:r>
    </w:p>
    <w:p w14:paraId="06000000">
      <w:pPr>
        <w:spacing w:line="276" w:lineRule="auto"/>
        <w:ind/>
        <w:jc w:val="center"/>
        <w:rPr>
          <w:sz w:val="27"/>
        </w:rPr>
      </w:pPr>
    </w:p>
    <w:p w14:paraId="07000000">
      <w:pPr>
        <w:spacing w:line="276" w:lineRule="auto"/>
        <w:ind/>
        <w:jc w:val="center"/>
        <w:rPr>
          <w:sz w:val="27"/>
        </w:rPr>
      </w:pPr>
      <w:r>
        <w:rPr>
          <w:sz w:val="27"/>
        </w:rPr>
        <w:t>ПОСТАНОВЛЕНИЕ</w:t>
      </w:r>
    </w:p>
    <w:p w14:paraId="08000000">
      <w:pPr>
        <w:spacing w:line="276" w:lineRule="auto"/>
        <w:ind/>
        <w:rPr>
          <w:sz w:val="27"/>
        </w:rPr>
      </w:pPr>
    </w:p>
    <w:tbl>
      <w:tblPr>
        <w:tblStyle w:val="Style_3"/>
        <w:tblLayout w:type="fixed"/>
      </w:tblPr>
      <w:tblGrid>
        <w:gridCol w:w="4034"/>
        <w:gridCol w:w="1213"/>
        <w:gridCol w:w="1030"/>
        <w:gridCol w:w="1002"/>
        <w:gridCol w:w="2926"/>
      </w:tblGrid>
      <w:tr>
        <w:tc>
          <w:tcPr>
            <w:tcW w:type="dxa" w:w="4034"/>
            <w:tcBorders>
              <w:bottom w:color="000000" w:sz="4" w:val="single"/>
            </w:tcBorders>
          </w:tcPr>
          <w:p w14:paraId="09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>2022 г.</w:t>
            </w:r>
          </w:p>
        </w:tc>
        <w:tc>
          <w:tcPr>
            <w:tcW w:type="dxa" w:w="1213"/>
          </w:tcPr>
          <w:p w14:paraId="0A000000">
            <w:pPr>
              <w:spacing w:line="276" w:lineRule="auto"/>
              <w:ind/>
              <w:rPr>
                <w:sz w:val="27"/>
              </w:rPr>
            </w:pPr>
          </w:p>
        </w:tc>
        <w:tc>
          <w:tcPr>
            <w:tcW w:type="dxa" w:w="1030"/>
            <w:tcBorders>
              <w:bottom w:color="000000" w:sz="4" w:val="single"/>
            </w:tcBorders>
          </w:tcPr>
          <w:p w14:paraId="0B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</w:p>
        </w:tc>
        <w:tc>
          <w:tcPr>
            <w:tcW w:type="dxa" w:w="1002"/>
          </w:tcPr>
          <w:p w14:paraId="0C000000">
            <w:pPr>
              <w:spacing w:line="276" w:lineRule="auto"/>
              <w:ind/>
              <w:rPr>
                <w:sz w:val="27"/>
              </w:rPr>
            </w:pPr>
          </w:p>
        </w:tc>
        <w:tc>
          <w:tcPr>
            <w:tcW w:type="dxa" w:w="2926"/>
          </w:tcPr>
          <w:p w14:paraId="0D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>г. Зверево</w:t>
            </w:r>
          </w:p>
        </w:tc>
      </w:tr>
      <w:tr>
        <w:tc>
          <w:tcPr>
            <w:tcW w:type="dxa" w:w="4034"/>
            <w:tcBorders>
              <w:top w:color="000000" w:sz="4" w:val="single"/>
            </w:tcBorders>
          </w:tcPr>
          <w:p w14:paraId="0E000000">
            <w:pPr>
              <w:spacing w:line="276" w:lineRule="auto"/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Об утверждении прогноза социально-экономического развития муниципального образования «Город Зверево» на 2023-2025 годы</w:t>
            </w:r>
          </w:p>
        </w:tc>
        <w:tc>
          <w:tcPr>
            <w:tcW w:type="dxa" w:w="1213"/>
          </w:tcPr>
          <w:p w14:paraId="0F000000">
            <w:pPr>
              <w:spacing w:line="276" w:lineRule="auto"/>
              <w:ind/>
              <w:rPr>
                <w:sz w:val="27"/>
              </w:rPr>
            </w:pPr>
          </w:p>
        </w:tc>
        <w:tc>
          <w:tcPr>
            <w:tcW w:type="dxa" w:w="1030"/>
            <w:tcBorders>
              <w:top w:color="000000" w:sz="4" w:val="single"/>
            </w:tcBorders>
          </w:tcPr>
          <w:p w14:paraId="10000000">
            <w:pPr>
              <w:spacing w:line="276" w:lineRule="auto"/>
              <w:ind/>
              <w:rPr>
                <w:sz w:val="27"/>
              </w:rPr>
            </w:pPr>
          </w:p>
        </w:tc>
        <w:tc>
          <w:tcPr>
            <w:tcW w:type="dxa" w:w="1002"/>
          </w:tcPr>
          <w:p w14:paraId="11000000">
            <w:pPr>
              <w:spacing w:line="276" w:lineRule="auto"/>
              <w:ind/>
              <w:rPr>
                <w:sz w:val="27"/>
              </w:rPr>
            </w:pPr>
          </w:p>
        </w:tc>
        <w:tc>
          <w:tcPr>
            <w:tcW w:type="dxa" w:w="2926"/>
          </w:tcPr>
          <w:p w14:paraId="12000000">
            <w:pPr>
              <w:spacing w:line="276" w:lineRule="auto"/>
              <w:ind/>
              <w:rPr>
                <w:sz w:val="27"/>
              </w:rPr>
            </w:pPr>
          </w:p>
        </w:tc>
      </w:tr>
    </w:tbl>
    <w:p w14:paraId="13000000">
      <w:pPr>
        <w:spacing w:line="276" w:lineRule="auto"/>
        <w:ind/>
        <w:rPr>
          <w:sz w:val="27"/>
        </w:rPr>
      </w:pPr>
    </w:p>
    <w:p w14:paraId="14000000">
      <w:pPr>
        <w:spacing w:line="276" w:lineRule="auto"/>
        <w:ind/>
        <w:rPr>
          <w:sz w:val="27"/>
        </w:rPr>
      </w:pPr>
    </w:p>
    <w:p w14:paraId="15000000">
      <w:pPr>
        <w:spacing w:line="276" w:lineRule="auto"/>
        <w:ind w:firstLine="708" w:left="0"/>
        <w:jc w:val="both"/>
        <w:rPr>
          <w:sz w:val="27"/>
        </w:rPr>
      </w:pPr>
      <w:r>
        <w:rPr>
          <w:sz w:val="27"/>
        </w:rPr>
        <w:t>В соответствии со статьей</w:t>
      </w:r>
      <w:r>
        <w:rPr>
          <w:sz w:val="27"/>
        </w:rPr>
        <w:t xml:space="preserve"> 6 Федерального закона от 28.06.2014 № 172-ФЗ «О стратегическом планировании в Российской Федерации», Федеральным законом от 06.10.2003 № 131-ФЗ «Об общих принципах организации местного самоуправления в Российской Федерации», решением Зверевской городской </w:t>
      </w:r>
      <w:r>
        <w:rPr>
          <w:sz w:val="27"/>
        </w:rPr>
        <w:t>Думы от 24.12.2015 № 22 «Об утверждении Порядка разработки, корректировки, мониторинга и контроля реализации документов стратегического планирования города Зверево», постановлением Администрации города Зверево от 29.12.2015 № 997 «О Порядке разработки прог</w:t>
      </w:r>
      <w:r>
        <w:rPr>
          <w:sz w:val="27"/>
        </w:rPr>
        <w:t>нозов социально-экономического развития муниципального образования «Город Зверево», руководствуясь Уставом муниципального образования «Город Зверево»,</w:t>
      </w:r>
    </w:p>
    <w:p w14:paraId="16000000">
      <w:pPr>
        <w:spacing w:line="276" w:lineRule="auto"/>
        <w:ind/>
        <w:rPr>
          <w:sz w:val="27"/>
        </w:rPr>
      </w:pPr>
    </w:p>
    <w:p w14:paraId="17000000">
      <w:pPr>
        <w:spacing w:line="276" w:lineRule="auto"/>
        <w:ind/>
        <w:jc w:val="center"/>
        <w:rPr>
          <w:sz w:val="27"/>
        </w:rPr>
      </w:pPr>
      <w:r>
        <w:rPr>
          <w:sz w:val="27"/>
        </w:rPr>
        <w:t>П О С Т А Н О В Л Я Ю:</w:t>
      </w:r>
    </w:p>
    <w:p w14:paraId="18000000">
      <w:pPr>
        <w:spacing w:line="276" w:lineRule="auto"/>
        <w:ind/>
        <w:rPr>
          <w:sz w:val="27"/>
        </w:rPr>
      </w:pPr>
    </w:p>
    <w:p w14:paraId="19000000">
      <w:pPr>
        <w:spacing w:line="276" w:lineRule="auto"/>
        <w:ind w:firstLine="708" w:left="0"/>
        <w:jc w:val="both"/>
        <w:rPr>
          <w:sz w:val="27"/>
        </w:rPr>
      </w:pPr>
      <w:r>
        <w:rPr>
          <w:sz w:val="27"/>
        </w:rPr>
        <w:t>1. Утвердить прогноз социально-экономического развития муниципального образовани</w:t>
      </w:r>
      <w:r>
        <w:rPr>
          <w:sz w:val="27"/>
        </w:rPr>
        <w:t>я «Город Зверево» на 2023-2025 годы согласно приложению.</w:t>
      </w:r>
    </w:p>
    <w:p w14:paraId="1A000000">
      <w:pPr>
        <w:spacing w:line="276" w:lineRule="auto"/>
        <w:ind w:firstLine="708" w:left="0"/>
        <w:jc w:val="both"/>
        <w:rPr>
          <w:sz w:val="27"/>
        </w:rPr>
      </w:pPr>
      <w:r>
        <w:rPr>
          <w:sz w:val="27"/>
        </w:rPr>
        <w:t>2. Настоящее постановление вступает в силу со дня его принятия.</w:t>
      </w:r>
    </w:p>
    <w:p w14:paraId="1B000000">
      <w:pPr>
        <w:spacing w:line="276" w:lineRule="auto"/>
        <w:ind w:firstLine="708" w:left="0"/>
        <w:jc w:val="both"/>
        <w:rPr>
          <w:sz w:val="27"/>
        </w:rPr>
      </w:pPr>
      <w:r>
        <w:rPr>
          <w:sz w:val="27"/>
        </w:rPr>
        <w:t>3. Контроль за исполнением настоящего постановления возложить на заместителя главы Администрации города Зверево по экономике Бербеко М.В</w:t>
      </w:r>
      <w:r>
        <w:rPr>
          <w:sz w:val="27"/>
        </w:rPr>
        <w:t>.</w:t>
      </w:r>
    </w:p>
    <w:p w14:paraId="1C000000">
      <w:pPr>
        <w:spacing w:line="276" w:lineRule="auto"/>
        <w:ind w:firstLine="708" w:left="0"/>
        <w:rPr>
          <w:sz w:val="27"/>
        </w:rPr>
      </w:pPr>
    </w:p>
    <w:tbl>
      <w:tblPr>
        <w:tblStyle w:val="Style_3"/>
        <w:tblLayout w:type="fixed"/>
      </w:tblPr>
      <w:tblGrid>
        <w:gridCol w:w="5296"/>
        <w:gridCol w:w="4909"/>
      </w:tblGrid>
      <w:tr>
        <w:tc>
          <w:tcPr>
            <w:tcW w:type="dxa" w:w="5296"/>
            <w:shd w:fill="auto" w:val="clear"/>
          </w:tcPr>
          <w:p w14:paraId="1D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>Глава Администрациигорода Зверево</w:t>
            </w:r>
          </w:p>
        </w:tc>
        <w:tc>
          <w:tcPr>
            <w:tcW w:type="dxa" w:w="4909"/>
            <w:shd w:fill="auto" w:val="clear"/>
            <w:vAlign w:val="bottom"/>
          </w:tcPr>
          <w:p w14:paraId="1E000000">
            <w:pPr>
              <w:spacing w:line="276" w:lineRule="auto"/>
              <w:ind/>
              <w:jc w:val="right"/>
              <w:rPr>
                <w:sz w:val="27"/>
              </w:rPr>
            </w:pPr>
            <w:r>
              <w:rPr>
                <w:sz w:val="27"/>
              </w:rPr>
              <w:t>А.В. Лотарев</w:t>
            </w:r>
          </w:p>
        </w:tc>
      </w:tr>
      <w:tr>
        <w:tc>
          <w:tcPr>
            <w:tcW w:type="dxa" w:w="5296"/>
            <w:shd w:fill="auto" w:val="clear"/>
          </w:tcPr>
          <w:p w14:paraId="1F000000">
            <w:pPr>
              <w:spacing w:line="276" w:lineRule="auto"/>
              <w:ind/>
              <w:rPr>
                <w:sz w:val="27"/>
              </w:rPr>
            </w:pPr>
          </w:p>
        </w:tc>
        <w:tc>
          <w:tcPr>
            <w:tcW w:type="dxa" w:w="4909"/>
            <w:shd w:fill="auto" w:val="clear"/>
          </w:tcPr>
          <w:p w14:paraId="20000000">
            <w:pPr>
              <w:spacing w:line="276" w:lineRule="auto"/>
              <w:ind/>
              <w:jc w:val="right"/>
              <w:rPr>
                <w:sz w:val="27"/>
              </w:rPr>
            </w:pPr>
          </w:p>
        </w:tc>
      </w:tr>
      <w:tr>
        <w:tc>
          <w:tcPr>
            <w:tcW w:type="dxa" w:w="5296"/>
            <w:shd w:fill="auto" w:val="clear"/>
          </w:tcPr>
          <w:p w14:paraId="21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>Постановление вносит</w:t>
            </w:r>
          </w:p>
          <w:p w14:paraId="22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 xml:space="preserve">заместитель главы Администрации </w:t>
            </w:r>
          </w:p>
          <w:p w14:paraId="23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>города Зверево по экономике</w:t>
            </w:r>
          </w:p>
          <w:p w14:paraId="24000000">
            <w:pPr>
              <w:spacing w:line="276" w:lineRule="auto"/>
              <w:ind/>
              <w:rPr>
                <w:sz w:val="27"/>
              </w:rPr>
            </w:pPr>
            <w:r>
              <w:rPr>
                <w:sz w:val="27"/>
              </w:rPr>
              <w:t>Бербеко М.В.</w:t>
            </w:r>
          </w:p>
        </w:tc>
        <w:tc>
          <w:tcPr>
            <w:tcW w:type="dxa" w:w="4909"/>
            <w:shd w:fill="auto" w:val="clear"/>
          </w:tcPr>
          <w:p w14:paraId="25000000">
            <w:pPr>
              <w:spacing w:line="276" w:lineRule="auto"/>
              <w:ind/>
              <w:jc w:val="right"/>
              <w:rPr>
                <w:sz w:val="27"/>
              </w:rPr>
            </w:pPr>
          </w:p>
        </w:tc>
      </w:tr>
    </w:tbl>
    <w:p w14:paraId="26000000">
      <w:pPr>
        <w:spacing w:line="276" w:lineRule="auto"/>
        <w:ind/>
        <w:rPr>
          <w:sz w:val="28"/>
        </w:rPr>
      </w:pPr>
    </w:p>
    <w:p w14:paraId="27000000">
      <w:pPr>
        <w:sectPr>
          <w:footerReference r:id="rId2" w:type="default"/>
          <w:pgSz w:h="16838" w:orient="portrait" w:w="11906"/>
          <w:pgMar w:bottom="1134" w:footer="709" w:gutter="0" w:header="709" w:left="1134" w:right="567" w:top="1134"/>
        </w:sectPr>
      </w:pPr>
    </w:p>
    <w:tbl>
      <w:tblPr>
        <w:tblStyle w:val="Style_3"/>
        <w:tblLayout w:type="fixed"/>
      </w:tblPr>
      <w:tblGrid>
        <w:gridCol w:w="9799"/>
        <w:gridCol w:w="5338"/>
      </w:tblGrid>
      <w:tr>
        <w:tc>
          <w:tcPr>
            <w:tcW w:type="dxa" w:w="9799"/>
            <w:shd w:fill="auto" w:val="clear"/>
          </w:tcPr>
          <w:p w14:paraId="28000000">
            <w:pPr>
              <w:rPr>
                <w:sz w:val="28"/>
              </w:rPr>
            </w:pPr>
          </w:p>
        </w:tc>
        <w:tc>
          <w:tcPr>
            <w:tcW w:type="dxa" w:w="5338"/>
            <w:shd w:fill="auto" w:val="clear"/>
          </w:tcPr>
          <w:p w14:paraId="29000000">
            <w:pPr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14:paraId="2A000000">
            <w:pPr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>
              <w:rPr>
                <w:sz w:val="28"/>
              </w:rPr>
              <w:t xml:space="preserve">постановлению Администрации города Зверево от___.___.2022 № </w:t>
            </w:r>
          </w:p>
        </w:tc>
      </w:tr>
    </w:tbl>
    <w:p w14:paraId="2B000000">
      <w:pPr>
        <w:rPr>
          <w:sz w:val="28"/>
        </w:rPr>
      </w:pPr>
    </w:p>
    <w:p w14:paraId="2C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D000000">
      <w:pPr>
        <w:ind/>
        <w:jc w:val="center"/>
        <w:rPr>
          <w:sz w:val="28"/>
        </w:rPr>
      </w:pPr>
      <w:r>
        <w:rPr>
          <w:sz w:val="28"/>
        </w:rPr>
        <w:t>основных показателей социально-экономического развития муниципального образования «Город Зверево» на очередной финансовый год и плановый период на 2023 год и период до 2025 года</w:t>
      </w:r>
    </w:p>
    <w:p w14:paraId="2E000000">
      <w:pPr>
        <w:ind/>
        <w:jc w:val="both"/>
        <w:rPr>
          <w:sz w:val="28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69"/>
        <w:gridCol w:w="5739"/>
        <w:gridCol w:w="1710"/>
        <w:gridCol w:w="1410"/>
        <w:gridCol w:w="1485"/>
        <w:gridCol w:w="1320"/>
        <w:gridCol w:w="1320"/>
        <w:gridCol w:w="1440"/>
      </w:tblGrid>
      <w:tr>
        <w:trPr>
          <w:tblHeader/>
        </w:trP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57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17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2021 год (отчет)</w:t>
            </w:r>
          </w:p>
        </w:tc>
        <w:tc>
          <w:tcPr>
            <w:tcW w:type="dxa" w:w="14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2022 год (оценка)</w:t>
            </w:r>
          </w:p>
        </w:tc>
        <w:tc>
          <w:tcPr>
            <w:tcW w:type="dxa" w:w="40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прогноз</w:t>
            </w:r>
          </w:p>
        </w:tc>
      </w:tr>
      <w:tr>
        <w:trPr>
          <w:tblHeader/>
        </w:trP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7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2023 год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2024 год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2025 год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Объем отгруженных товаров, работ и услуг, выполненных собственными силами, по полному кругу организаций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3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13885,3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13704,7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19385,9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22125,2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23693,3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Темп </w:t>
            </w:r>
            <w:r>
              <w:rPr>
                <w:sz w:val="28"/>
              </w:rPr>
              <w:t>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113,9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85,2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130,0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109,2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103,0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 том числе по видам деятельности: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Добыча полезных ископаемых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5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13062,4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12829,2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18449,1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21138,3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22648,8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  <w:r>
              <w:rPr>
                <w:sz w:val="28"/>
              </w:rPr>
              <w:t xml:space="preserve">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136,0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84,3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131,9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109,5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103,0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Обрабатывающие производства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6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291,2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329,7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350,9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368,3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391,6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97,1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102,9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102,5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102,5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</w:t>
            </w:r>
            <w:r>
              <w:rPr>
                <w:sz w:val="28"/>
              </w:rPr>
              <w:t>электрической энергией, газом и паром; кондиционирование воздуха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7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229,9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240,3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251,2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262,9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276,1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100,6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101,0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Водоснабжение; водоотведение, организация сбора и </w:t>
            </w:r>
            <w:r>
              <w:rPr>
                <w:sz w:val="28"/>
              </w:rPr>
              <w:t>утилизации отходов, деятельность по ликвидации загрязнений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8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271,8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305,5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334,8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335,7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376,8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129,6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101,8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101,9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Объем инвестиции за счет всех источников </w:t>
            </w:r>
            <w:r>
              <w:rPr>
                <w:sz w:val="28"/>
              </w:rPr>
              <w:t>финансирования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9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970,4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1562,3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1708,1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2606,9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1737,7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227,9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144,5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144,9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Объем работ, выполненных по виду деятельности «строительство»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 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171,7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322,2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356,4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378,8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414,0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Темп к </w:t>
            </w:r>
            <w:r>
              <w:rPr>
                <w:sz w:val="28"/>
              </w:rPr>
              <w:t>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91,6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161,0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101,6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105,1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тыс. кв.м.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1,801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2,640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2,840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3,040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3,140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72,3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146,6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107,6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107,0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103,3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Среднесписочная численность работников по полному кругу организаций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тыс. человек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5,365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5,535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5,744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5,884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5,893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100,2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Среднемесячная заработная плата работников по полному кругу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38687,55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41724,12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44696,00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47278,93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49770,47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111,9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105,8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105,2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Фонд заработной платы по полному кругу организаций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D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2490,7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2771,3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3080,8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3338,9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3519,6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112,4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111,3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111,2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108,4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105,4</w:t>
            </w:r>
          </w:p>
        </w:tc>
      </w:tr>
      <w:tr>
        <w:trPr>
          <w:trHeight w:hRule="atLeast" w:val="200"/>
        </w:trP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Уровень регистрируемой безработицы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Число малых предприятий*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103,2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102,9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Количество ИП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444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464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484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504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524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104,1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104,0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Оборот малых предприятий*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1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2245,1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2641,5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2930,7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3119,4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3321,5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223,2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117,7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110,9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106,4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106,5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Оборот розничной торговли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2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233,5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2798,6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3161,2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3481,9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3766,0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107,0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101,0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104,9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103,8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Оборот общественного питания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3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49,4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54,1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58,2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62,8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 в сопоставимых ценах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100,7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102,8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103,8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Аренда муниципального имущества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4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109,0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87,5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107,1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93,3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Аренда земельных </w:t>
            </w:r>
            <w:r>
              <w:rPr>
                <w:sz w:val="28"/>
              </w:rPr>
              <w:t>участков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5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30,9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27,2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27,2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27,2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108,8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56,6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155,4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Продажа земельных участков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6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5,7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356,3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26,3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</w:tr>
      <w:tr>
        <w:tc>
          <w:tcPr>
            <w:tcW w:type="dxa" w:w="6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Продажа </w:t>
            </w:r>
            <w:r>
              <w:rPr>
                <w:sz w:val="28"/>
              </w:rPr>
              <w:t>муниципального имущества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млн.</w:t>
            </w:r>
          </w:p>
          <w:p w14:paraId="7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>
        <w:tc>
          <w:tcPr>
            <w:tcW w:type="dxa" w:w="6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Темп к предыдущему году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процентов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</w:tbl>
    <w:p w14:paraId="81010000">
      <w:pPr>
        <w:ind/>
        <w:jc w:val="both"/>
        <w:rPr>
          <w:sz w:val="22"/>
        </w:rPr>
      </w:pPr>
      <w:r>
        <w:rPr>
          <w:sz w:val="22"/>
        </w:rPr>
        <w:t>* в том числе микропредприятия</w:t>
      </w:r>
    </w:p>
    <w:p w14:paraId="82010000">
      <w:pPr>
        <w:rPr>
          <w:sz w:val="28"/>
        </w:rPr>
      </w:pPr>
    </w:p>
    <w:tbl>
      <w:tblPr>
        <w:tblStyle w:val="Style_3"/>
        <w:tblLayout w:type="fixed"/>
      </w:tblPr>
      <w:tblGrid>
        <w:gridCol w:w="4566"/>
        <w:gridCol w:w="10571"/>
      </w:tblGrid>
      <w:tr>
        <w:tc>
          <w:tcPr>
            <w:tcW w:type="dxa" w:w="4566"/>
          </w:tcPr>
          <w:p w14:paraId="8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Управляющий делами</w:t>
            </w:r>
          </w:p>
          <w:p w14:paraId="84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Администрации города Зверево</w:t>
            </w:r>
          </w:p>
        </w:tc>
        <w:tc>
          <w:tcPr>
            <w:tcW w:type="dxa" w:w="10571"/>
            <w:vAlign w:val="bottom"/>
          </w:tcPr>
          <w:p w14:paraId="8501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М.О. Конькова</w:t>
            </w:r>
          </w:p>
        </w:tc>
      </w:tr>
    </w:tbl>
    <w:p w14:paraId="86010000">
      <w:pPr>
        <w:rPr>
          <w:sz w:val="2"/>
        </w:rPr>
      </w:pPr>
    </w:p>
    <w:sectPr>
      <w:footerReference r:id="rId1" w:type="default"/>
      <w:pgSz w:h="11906" w:orient="landscape" w:w="16838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  <w:sz w:val="18"/>
      </w:rPr>
      <w:fldChar w:fldCharType="begin"/>
    </w:r>
    <w:r>
      <w:rPr>
        <w:rStyle w:val="Style_1_ch"/>
        <w:sz w:val="18"/>
      </w:rPr>
      <w:instrText xml:space="preserve">PAGE </w:instrText>
    </w:r>
    <w:r>
      <w:rPr>
        <w:rStyle w:val="Style_1_ch"/>
        <w:sz w:val="18"/>
      </w:rPr>
      <w:fldChar w:fldCharType="separate"/>
    </w:r>
    <w:r>
      <w:rPr>
        <w:rStyle w:val="Style_1_ch"/>
        <w:sz w:val="18"/>
      </w:rPr>
      <w:fldChar w:fldCharType="end"/>
    </w:r>
  </w:p>
  <w:p w14:paraId="01000000">
    <w:pPr>
      <w:pStyle w:val="Style_2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  <w:sz w:val="18"/>
      </w:rPr>
      <w:fldChar w:fldCharType="begin"/>
    </w:r>
    <w:r>
      <w:rPr>
        <w:rStyle w:val="Style_1_ch"/>
        <w:sz w:val="18"/>
      </w:rPr>
      <w:instrText xml:space="preserve">PAGE </w:instrText>
    </w:r>
    <w:r>
      <w:rPr>
        <w:rStyle w:val="Style_1_ch"/>
        <w:sz w:val="18"/>
      </w:rPr>
      <w:fldChar w:fldCharType="separate"/>
    </w:r>
    <w:r>
      <w:rPr>
        <w:rStyle w:val="Style_1_ch"/>
        <w:sz w:val="18"/>
      </w:rPr>
      <w:fldChar w:fldCharType="end"/>
    </w:r>
  </w:p>
  <w:p w14:paraId="02000000">
    <w:pPr>
      <w:pStyle w:val="Style_2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7" w:type="paragraph">
    <w:name w:val="toc 6"/>
    <w:next w:val="Style_4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бычный1"/>
    <w:link w:val="Style_11_ch"/>
    <w:rPr>
      <w:sz w:val="24"/>
    </w:rPr>
  </w:style>
  <w:style w:styleId="Style_11_ch" w:type="character">
    <w:name w:val="Обычный1"/>
    <w:link w:val="Style_11"/>
    <w:rPr>
      <w:sz w:val="24"/>
    </w:rPr>
  </w:style>
  <w:style w:styleId="Style_12" w:type="paragraph">
    <w:name w:val="Гипертекстовая ссылка"/>
    <w:link w:val="Style_12_ch"/>
    <w:rPr>
      <w:b w:val="1"/>
      <w:color w:val="008000"/>
      <w:u w:val="single"/>
    </w:rPr>
  </w:style>
  <w:style w:styleId="Style_12_ch" w:type="character">
    <w:name w:val="Гипертекстовая ссылка"/>
    <w:link w:val="Style_12"/>
    <w:rPr>
      <w:b w:val="1"/>
      <w:color w:val="008000"/>
      <w:u w:val="single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ConsNormal"/>
    <w:link w:val="Style_14_ch"/>
    <w:pPr>
      <w:widowControl w:val="0"/>
      <w:ind w:firstLine="720" w:left="0"/>
    </w:pPr>
    <w:rPr>
      <w:rFonts w:ascii="Arial" w:hAnsi="Arial"/>
    </w:rPr>
  </w:style>
  <w:style w:styleId="Style_14_ch" w:type="character">
    <w:name w:val="ConsNormal"/>
    <w:link w:val="Style_14"/>
    <w:rPr>
      <w:rFonts w:ascii="Arial" w:hAnsi="Arial"/>
    </w:rPr>
  </w:style>
  <w:style w:styleId="Style_15" w:type="paragraph">
    <w:name w:val="toc 3"/>
    <w:next w:val="Style_4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Postan"/>
    <w:basedOn w:val="Style_4"/>
    <w:link w:val="Style_16_ch"/>
    <w:pPr>
      <w:ind/>
      <w:jc w:val="center"/>
    </w:pPr>
    <w:rPr>
      <w:sz w:val="28"/>
    </w:rPr>
  </w:style>
  <w:style w:styleId="Style_16_ch" w:type="character">
    <w:name w:val="Postan"/>
    <w:basedOn w:val="Style_4_ch"/>
    <w:link w:val="Style_16"/>
    <w:rPr>
      <w:sz w:val="28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Знак"/>
    <w:basedOn w:val="Style_4"/>
    <w:link w:val="Style_19_ch"/>
    <w:pPr>
      <w:spacing w:afterAutospacing="on" w:beforeAutospacing="on"/>
      <w:ind/>
    </w:pPr>
    <w:rPr>
      <w:rFonts w:ascii="Tahoma" w:hAnsi="Tahoma"/>
      <w:sz w:val="20"/>
    </w:rPr>
  </w:style>
  <w:style w:styleId="Style_19_ch" w:type="character">
    <w:name w:val="Знак"/>
    <w:basedOn w:val="Style_4_ch"/>
    <w:link w:val="Style_19"/>
    <w:rPr>
      <w:rFonts w:ascii="Tahoma" w:hAnsi="Tahoma"/>
      <w:sz w:val="2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Номер страницы1"/>
    <w:basedOn w:val="Style_23"/>
    <w:link w:val="Style_1_ch"/>
  </w:style>
  <w:style w:styleId="Style_1_ch" w:type="character">
    <w:name w:val="Номер страницы1"/>
    <w:basedOn w:val="Style_23_ch"/>
    <w:link w:val="Style_1"/>
  </w:style>
  <w:style w:styleId="Style_24" w:type="paragraph">
    <w:name w:val="header"/>
    <w:basedOn w:val="Style_4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header"/>
    <w:basedOn w:val="Style_4_ch"/>
    <w:link w:val="Style_24"/>
  </w:style>
  <w:style w:styleId="Style_25" w:type="paragraph">
    <w:name w:val="Header and Footer"/>
    <w:link w:val="Style_25_ch"/>
    <w:pPr>
      <w:ind/>
      <w:jc w:val="both"/>
    </w:pPr>
    <w:rPr>
      <w:rFonts w:ascii="XO Thames" w:hAnsi="XO Thames"/>
    </w:rPr>
  </w:style>
  <w:style w:styleId="Style_25_ch" w:type="character">
    <w:name w:val="Header and Footer"/>
    <w:link w:val="Style_25"/>
    <w:rPr>
      <w:rFonts w:ascii="XO Thames" w:hAnsi="XO Thames"/>
    </w:rPr>
  </w:style>
  <w:style w:styleId="Style_26" w:type="paragraph">
    <w:name w:val="toc 9"/>
    <w:next w:val="Style_4"/>
    <w:link w:val="Style_26_ch"/>
    <w:uiPriority w:val="39"/>
    <w:pPr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4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30" w:type="paragraph">
    <w:name w:val="Title"/>
    <w:next w:val="Style_4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4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Balloon Text"/>
    <w:basedOn w:val="Style_4"/>
    <w:link w:val="Style_32_ch"/>
    <w:rPr>
      <w:rFonts w:ascii="Segoe UI" w:hAnsi="Segoe UI"/>
      <w:sz w:val="18"/>
    </w:rPr>
  </w:style>
  <w:style w:styleId="Style_32_ch" w:type="character">
    <w:name w:val="Balloon Text"/>
    <w:basedOn w:val="Style_4_ch"/>
    <w:link w:val="Style_32"/>
    <w:rPr>
      <w:rFonts w:ascii="Segoe UI" w:hAnsi="Segoe UI"/>
      <w:sz w:val="18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ConsPlusNormal"/>
    <w:link w:val="Style_34_ch"/>
    <w:pPr>
      <w:widowControl w:val="0"/>
      <w:ind w:firstLine="720" w:left="0"/>
    </w:pPr>
    <w:rPr>
      <w:rFonts w:ascii="Arial" w:hAnsi="Arial"/>
    </w:rPr>
  </w:style>
  <w:style w:styleId="Style_34_ch" w:type="character">
    <w:name w:val="ConsPlusNormal"/>
    <w:link w:val="Style_34"/>
    <w:rPr>
      <w:rFonts w:ascii="Arial" w:hAnsi="Arial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8" Target="theme/theme1.xml" Type="http://schemas.openxmlformats.org/officeDocument/2006/relationships/theme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2022-06-29T12:45:51Z</dcterms:modified>
</cp:coreProperties>
</file>