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line="230" w:lineRule="exact"/>
        <w:ind w:firstLine="0" w:left="6300" w:right="126"/>
        <w:jc w:val="right"/>
      </w:pPr>
      <w:r>
        <w:rPr>
          <w:spacing w:val="-4"/>
        </w:rPr>
        <w:t>Приложение №</w:t>
      </w:r>
      <w:r>
        <w:rPr>
          <w:spacing w:val="-4"/>
        </w:rPr>
        <w:t xml:space="preserve"> </w:t>
      </w:r>
      <w:r>
        <w:rPr>
          <w:spacing w:val="-4"/>
        </w:rPr>
        <w:t>2</w:t>
      </w:r>
    </w:p>
    <w:p w14:paraId="02000000">
      <w:pPr>
        <w:spacing w:line="230" w:lineRule="exact"/>
        <w:ind w:right="91"/>
        <w:jc w:val="right"/>
      </w:pPr>
      <w:r>
        <w:rPr>
          <w:spacing w:val="-1"/>
        </w:rPr>
        <w:t>к протоколу заседания Правления</w:t>
      </w:r>
    </w:p>
    <w:p w14:paraId="03000000">
      <w:pPr>
        <w:spacing w:line="230" w:lineRule="exact"/>
        <w:ind w:right="86"/>
        <w:jc w:val="right"/>
      </w:pPr>
      <w:r>
        <w:rPr>
          <w:spacing w:val="-1"/>
        </w:rPr>
        <w:t>Региональной службы по тарифам</w:t>
      </w:r>
    </w:p>
    <w:p w14:paraId="04000000">
      <w:pPr>
        <w:spacing w:line="230" w:lineRule="exact"/>
        <w:ind w:right="86"/>
        <w:jc w:val="right"/>
      </w:pPr>
      <w:r>
        <w:rPr>
          <w:spacing w:val="-1"/>
        </w:rPr>
        <w:t>Ростовской области</w:t>
      </w:r>
    </w:p>
    <w:p w14:paraId="05000000">
      <w:pPr>
        <w:spacing w:line="230" w:lineRule="exact"/>
        <w:ind w:right="96"/>
        <w:jc w:val="right"/>
        <w:rPr>
          <w:spacing w:val="4"/>
        </w:rPr>
      </w:pPr>
      <w:r>
        <w:rPr>
          <w:spacing w:val="4"/>
        </w:rPr>
        <w:t xml:space="preserve">от </w:t>
      </w:r>
      <w:r>
        <w:rPr>
          <w:spacing w:val="4"/>
        </w:rPr>
        <w:t>20</w:t>
      </w:r>
      <w:r>
        <w:rPr>
          <w:spacing w:val="4"/>
        </w:rPr>
        <w:t>.</w:t>
      </w:r>
      <w:r>
        <w:rPr>
          <w:spacing w:val="4"/>
        </w:rPr>
        <w:t>0</w:t>
      </w:r>
      <w:r>
        <w:rPr>
          <w:spacing w:val="4"/>
        </w:rPr>
        <w:t>5</w:t>
      </w:r>
      <w:r>
        <w:rPr>
          <w:spacing w:val="4"/>
        </w:rPr>
        <w:t>.</w:t>
      </w:r>
      <w:r>
        <w:rPr>
          <w:spacing w:val="4"/>
        </w:rPr>
        <w:t>20</w:t>
      </w:r>
      <w:r>
        <w:rPr>
          <w:spacing w:val="4"/>
        </w:rPr>
        <w:t>2</w:t>
      </w:r>
      <w:r>
        <w:rPr>
          <w:spacing w:val="4"/>
        </w:rPr>
        <w:t>5</w:t>
      </w:r>
      <w:r>
        <w:rPr>
          <w:spacing w:val="4"/>
        </w:rPr>
        <w:t xml:space="preserve"> </w:t>
      </w:r>
      <w:r>
        <w:rPr>
          <w:spacing w:val="4"/>
        </w:rPr>
        <w:t>№</w:t>
      </w:r>
      <w:r>
        <w:rPr>
          <w:spacing w:val="4"/>
        </w:rPr>
        <w:t xml:space="preserve"> </w:t>
      </w:r>
      <w:r>
        <w:rPr>
          <w:spacing w:val="4"/>
        </w:rPr>
        <w:t>19</w:t>
      </w:r>
    </w:p>
    <w:p w14:paraId="06000000">
      <w:pPr>
        <w:spacing w:line="230" w:lineRule="exact"/>
        <w:ind w:right="96"/>
        <w:jc w:val="right"/>
        <w:rPr>
          <w:b w:val="1"/>
          <w:sz w:val="28"/>
        </w:rPr>
      </w:pPr>
    </w:p>
    <w:p w14:paraId="07000000">
      <w:pPr>
        <w:spacing w:line="230" w:lineRule="exact"/>
        <w:ind w:right="96"/>
        <w:jc w:val="right"/>
        <w:rPr>
          <w:b w:val="1"/>
          <w:sz w:val="28"/>
        </w:rPr>
      </w:pPr>
    </w:p>
    <w:p w14:paraId="08000000">
      <w:pPr>
        <w:ind/>
        <w:jc w:val="center"/>
        <w:rPr>
          <w:b w:val="1"/>
        </w:rPr>
      </w:pPr>
      <w:r>
        <w:rPr>
          <w:b w:val="1"/>
        </w:rPr>
        <w:drawing>
          <wp:inline>
            <wp:extent cx="615950" cy="615950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615950" cy="61595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9000000">
      <w:pPr>
        <w:ind/>
        <w:jc w:val="center"/>
        <w:rPr>
          <w:b w:val="1"/>
          <w:sz w:val="28"/>
        </w:rPr>
      </w:pPr>
    </w:p>
    <w:p w14:paraId="0A000000">
      <w:pPr>
        <w:ind/>
        <w:jc w:val="center"/>
        <w:rPr>
          <w:b w:val="1"/>
          <w:sz w:val="32"/>
        </w:rPr>
      </w:pPr>
      <w:r>
        <w:rPr>
          <w:b w:val="1"/>
          <w:sz w:val="32"/>
        </w:rPr>
        <w:t>РЕГИОНАЛЬНАЯ СЛУЖБА ПО ТАРИФАМ</w:t>
      </w:r>
    </w:p>
    <w:p w14:paraId="0B000000">
      <w:pPr>
        <w:ind/>
        <w:jc w:val="center"/>
        <w:rPr>
          <w:b w:val="1"/>
          <w:sz w:val="32"/>
        </w:rPr>
      </w:pPr>
      <w:r>
        <w:rPr>
          <w:b w:val="1"/>
          <w:sz w:val="32"/>
        </w:rPr>
        <w:t>РОСТОВСКОЙ ОБЛАСТИ</w:t>
      </w:r>
    </w:p>
    <w:p w14:paraId="0C000000">
      <w:pPr>
        <w:spacing w:afterAutospacing="on" w:beforeAutospacing="on"/>
        <w:ind/>
        <w:contextualSpacing w:val="1"/>
        <w:jc w:val="center"/>
        <w:rPr>
          <w:b w:val="1"/>
          <w:sz w:val="28"/>
        </w:rPr>
      </w:pPr>
    </w:p>
    <w:p w14:paraId="0D000000">
      <w:pPr>
        <w:spacing w:afterAutospacing="on" w:beforeAutospacing="on"/>
        <w:ind/>
        <w:contextualSpacing w:val="1"/>
        <w:jc w:val="center"/>
        <w:rPr>
          <w:b w:val="1"/>
          <w:sz w:val="28"/>
        </w:rPr>
      </w:pPr>
      <w:r>
        <w:rPr>
          <w:b w:val="1"/>
          <w:sz w:val="28"/>
        </w:rPr>
        <w:t>ПОСТАНОВЛЕНИЕ</w:t>
      </w:r>
    </w:p>
    <w:p w14:paraId="0E000000">
      <w:pPr>
        <w:spacing w:afterAutospacing="on" w:beforeAutospacing="on"/>
        <w:ind w:right="82"/>
        <w:contextualSpacing w:val="1"/>
        <w:jc w:val="center"/>
        <w:rPr>
          <w:sz w:val="28"/>
        </w:rPr>
      </w:pPr>
    </w:p>
    <w:p w14:paraId="0F000000">
      <w:pPr>
        <w:tabs>
          <w:tab w:leader="none" w:pos="3984" w:val="left"/>
          <w:tab w:leader="none" w:pos="8770" w:val="left"/>
          <w:tab w:leader="none" w:pos="9000" w:val="left"/>
        </w:tabs>
        <w:spacing w:afterAutospacing="on" w:beforeAutospacing="on"/>
        <w:ind w:firstLine="720" w:left="0"/>
        <w:contextualSpacing w:val="1"/>
        <w:jc w:val="both"/>
        <w:rPr>
          <w:spacing w:val="-13"/>
          <w:sz w:val="28"/>
        </w:rPr>
      </w:pPr>
      <w:r>
        <w:rPr>
          <w:sz w:val="28"/>
        </w:rPr>
        <w:t>20</w:t>
      </w:r>
      <w:r>
        <w:rPr>
          <w:sz w:val="28"/>
        </w:rPr>
        <w:t>.</w:t>
      </w:r>
      <w:r>
        <w:rPr>
          <w:sz w:val="28"/>
        </w:rPr>
        <w:t>0</w:t>
      </w:r>
      <w:r>
        <w:rPr>
          <w:sz w:val="28"/>
        </w:rPr>
        <w:t>5</w:t>
      </w:r>
      <w:r>
        <w:rPr>
          <w:sz w:val="28"/>
        </w:rPr>
        <w:t>.</w:t>
      </w:r>
      <w:r>
        <w:rPr>
          <w:sz w:val="28"/>
        </w:rPr>
        <w:t>20</w:t>
      </w:r>
      <w:r>
        <w:rPr>
          <w:sz w:val="28"/>
        </w:rPr>
        <w:t>2</w:t>
      </w:r>
      <w:r>
        <w:rPr>
          <w:sz w:val="28"/>
        </w:rPr>
        <w:t>5</w:t>
      </w:r>
      <w:r>
        <w:rPr>
          <w:sz w:val="28"/>
        </w:rPr>
        <w:tab/>
      </w:r>
      <w:r>
        <w:rPr>
          <w:sz w:val="28"/>
        </w:rPr>
        <w:t>г. Ростов-на-Дону</w:t>
      </w:r>
      <w:r>
        <w:rPr>
          <w:spacing w:val="-13"/>
          <w:sz w:val="28"/>
        </w:rPr>
        <w:tab/>
      </w:r>
      <w:r>
        <w:rPr>
          <w:spacing w:val="-13"/>
          <w:sz w:val="28"/>
        </w:rPr>
        <w:t>№</w:t>
      </w:r>
      <w:r>
        <w:rPr>
          <w:spacing w:val="-13"/>
          <w:sz w:val="28"/>
        </w:rPr>
        <w:t xml:space="preserve"> </w:t>
      </w:r>
      <w:r>
        <w:rPr>
          <w:spacing w:val="-13"/>
          <w:sz w:val="28"/>
        </w:rPr>
        <w:t>54</w:t>
      </w:r>
      <w:bookmarkStart w:id="1" w:name="_GoBack"/>
      <w:bookmarkEnd w:id="1"/>
    </w:p>
    <w:p w14:paraId="10000000">
      <w:pPr>
        <w:rPr>
          <w:b w:val="1"/>
          <w:sz w:val="28"/>
        </w:rPr>
      </w:pPr>
    </w:p>
    <w:p w14:paraId="11000000">
      <w:pPr>
        <w:spacing w:after="100" w:before="100"/>
        <w:ind/>
        <w:contextualSpacing w:val="1"/>
        <w:jc w:val="center"/>
        <w:rPr>
          <w:b w:val="1"/>
          <w:sz w:val="28"/>
        </w:rPr>
      </w:pPr>
      <w:r>
        <w:rPr>
          <w:b w:val="1"/>
          <w:sz w:val="28"/>
        </w:rPr>
        <w:t>О внесении изменени</w:t>
      </w:r>
      <w:r>
        <w:rPr>
          <w:b w:val="1"/>
          <w:sz w:val="28"/>
        </w:rPr>
        <w:t>я</w:t>
      </w:r>
      <w:r>
        <w:rPr>
          <w:b w:val="1"/>
          <w:sz w:val="28"/>
        </w:rPr>
        <w:t xml:space="preserve"> в </w:t>
      </w:r>
      <w:r>
        <w:rPr>
          <w:b w:val="1"/>
          <w:sz w:val="28"/>
        </w:rPr>
        <w:t xml:space="preserve">постановление Региональной службы по тарифам Ростовской области </w:t>
      </w:r>
      <w:r>
        <w:rPr>
          <w:b w:val="1"/>
          <w:sz w:val="28"/>
        </w:rPr>
        <w:t xml:space="preserve">от </w:t>
      </w:r>
      <w:r>
        <w:rPr>
          <w:b w:val="1"/>
          <w:sz w:val="28"/>
        </w:rPr>
        <w:t>26</w:t>
      </w:r>
      <w:r>
        <w:rPr>
          <w:b w:val="1"/>
          <w:sz w:val="28"/>
        </w:rPr>
        <w:t>.1</w:t>
      </w:r>
      <w:r>
        <w:rPr>
          <w:b w:val="1"/>
          <w:sz w:val="28"/>
        </w:rPr>
        <w:t>1</w:t>
      </w:r>
      <w:r>
        <w:rPr>
          <w:b w:val="1"/>
          <w:sz w:val="28"/>
        </w:rPr>
        <w:t>.202</w:t>
      </w:r>
      <w:r>
        <w:rPr>
          <w:b w:val="1"/>
          <w:sz w:val="28"/>
        </w:rPr>
        <w:t>4</w:t>
      </w:r>
      <w:r>
        <w:rPr>
          <w:b w:val="1"/>
          <w:sz w:val="28"/>
        </w:rPr>
        <w:t xml:space="preserve"> № </w:t>
      </w:r>
      <w:r>
        <w:rPr>
          <w:b w:val="1"/>
          <w:sz w:val="28"/>
        </w:rPr>
        <w:t>556</w:t>
      </w:r>
      <w:r>
        <w:rPr>
          <w:b w:val="1"/>
          <w:sz w:val="28"/>
        </w:rPr>
        <w:t xml:space="preserve"> «</w:t>
      </w:r>
      <w:r>
        <w:rPr>
          <w:b w:val="1"/>
          <w:sz w:val="28"/>
        </w:rPr>
        <w:t>Об установлении единых стандартизированных тарифных ставок за технологическое присоединение энергопринимающих устройств к распределительным электрическим сетям территориальных сетевых организаций на территории Ростовской области на 202</w:t>
      </w:r>
      <w:r>
        <w:rPr>
          <w:b w:val="1"/>
          <w:sz w:val="28"/>
        </w:rPr>
        <w:t>5</w:t>
      </w:r>
      <w:r>
        <w:rPr>
          <w:b w:val="1"/>
          <w:sz w:val="28"/>
        </w:rPr>
        <w:t xml:space="preserve"> год</w:t>
      </w:r>
      <w:r>
        <w:rPr>
          <w:b w:val="1"/>
          <w:sz w:val="28"/>
        </w:rPr>
        <w:t>»</w:t>
      </w:r>
    </w:p>
    <w:p w14:paraId="12000000">
      <w:pPr>
        <w:pStyle w:val="Style_1"/>
        <w:widowControl w:val="1"/>
        <w:spacing w:afterAutospacing="on" w:beforeAutospacing="on"/>
        <w:ind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</w:t>
      </w:r>
      <w:r>
        <w:rPr>
          <w:rFonts w:ascii="Times New Roman" w:hAnsi="Times New Roman"/>
          <w:sz w:val="28"/>
        </w:rPr>
        <w:t>связи с допущенной опечаткой</w:t>
      </w:r>
      <w:r>
        <w:rPr>
          <w:rFonts w:ascii="Times New Roman" w:hAnsi="Times New Roman"/>
          <w:sz w:val="28"/>
        </w:rPr>
        <w:t xml:space="preserve"> Региональная служба по тарифам Ростовской области</w:t>
      </w:r>
      <w:r>
        <w:rPr>
          <w:rFonts w:ascii="Times New Roman" w:hAnsi="Times New Roman"/>
          <w:sz w:val="28"/>
        </w:rPr>
        <w:t xml:space="preserve"> </w:t>
      </w:r>
    </w:p>
    <w:p w14:paraId="13000000">
      <w:pPr>
        <w:pStyle w:val="Style_1"/>
        <w:widowControl w:val="1"/>
        <w:ind/>
        <w:jc w:val="both"/>
        <w:rPr>
          <w:rFonts w:ascii="Times New Roman" w:hAnsi="Times New Roman"/>
        </w:rPr>
      </w:pPr>
    </w:p>
    <w:p w14:paraId="14000000">
      <w:pPr>
        <w:widowControl w:val="1"/>
        <w:ind/>
        <w:jc w:val="center"/>
        <w:rPr>
          <w:b w:val="1"/>
          <w:sz w:val="28"/>
        </w:rPr>
      </w:pPr>
      <w:r>
        <w:rPr>
          <w:b w:val="1"/>
          <w:sz w:val="28"/>
        </w:rPr>
        <w:t>постановляет:</w:t>
      </w:r>
    </w:p>
    <w:p w14:paraId="15000000">
      <w:pPr>
        <w:pStyle w:val="Style_1"/>
        <w:widowControl w:val="1"/>
        <w:ind/>
        <w:jc w:val="both"/>
        <w:rPr>
          <w:rFonts w:ascii="Times New Roman" w:hAnsi="Times New Roman"/>
        </w:rPr>
      </w:pPr>
    </w:p>
    <w:p w14:paraId="16000000">
      <w:pPr>
        <w:pStyle w:val="Style_1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</w:t>
      </w:r>
      <w:r>
        <w:rPr>
          <w:rFonts w:ascii="Times New Roman" w:hAnsi="Times New Roman"/>
          <w:sz w:val="28"/>
        </w:rPr>
        <w:t xml:space="preserve">Внести </w:t>
      </w:r>
      <w:r>
        <w:rPr>
          <w:rFonts w:ascii="Times New Roman" w:hAnsi="Times New Roman"/>
          <w:sz w:val="28"/>
        </w:rPr>
        <w:t>изменени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в </w:t>
      </w:r>
      <w:r>
        <w:rPr>
          <w:rFonts w:ascii="Times New Roman" w:hAnsi="Times New Roman"/>
          <w:sz w:val="28"/>
        </w:rPr>
        <w:t>постановлени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 xml:space="preserve"> Региональной службы по тарифам Ростовской области </w:t>
      </w:r>
      <w:r>
        <w:rPr>
          <w:rFonts w:ascii="Times New Roman" w:hAnsi="Times New Roman"/>
          <w:sz w:val="28"/>
        </w:rPr>
        <w:t xml:space="preserve">от 26.11.2024 № 556 </w:t>
      </w:r>
      <w:r>
        <w:rPr>
          <w:rFonts w:ascii="Times New Roman" w:hAnsi="Times New Roman"/>
          <w:sz w:val="28"/>
        </w:rPr>
        <w:t xml:space="preserve">(в редакции </w:t>
      </w:r>
      <w:r>
        <w:rPr>
          <w:rFonts w:ascii="Times New Roman" w:hAnsi="Times New Roman"/>
          <w:sz w:val="28"/>
        </w:rPr>
        <w:t>постановлени</w:t>
      </w:r>
      <w:r>
        <w:rPr>
          <w:rFonts w:ascii="Times New Roman" w:hAnsi="Times New Roman"/>
          <w:sz w:val="28"/>
        </w:rPr>
        <w:t>я</w:t>
      </w:r>
      <w:r>
        <w:rPr>
          <w:rFonts w:ascii="Times New Roman" w:hAnsi="Times New Roman"/>
          <w:sz w:val="28"/>
        </w:rPr>
        <w:t xml:space="preserve"> Региональной службы по тарифам Ростовской области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от 28.04.2025 № 45</w:t>
      </w:r>
      <w:r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«Об установлении единых стандартизированных тарифных ставок за технологическое присоединение энергопринимающих устройств к распределительным электрическим сетям территориальных сетевых организаций на территории Ростовской области на 2025 год»</w:t>
      </w:r>
      <w:r>
        <w:rPr>
          <w:rFonts w:ascii="Times New Roman" w:hAnsi="Times New Roman"/>
          <w:sz w:val="28"/>
        </w:rPr>
        <w:t xml:space="preserve">, заменив </w:t>
      </w:r>
      <w:r>
        <w:rPr>
          <w:rFonts w:ascii="Times New Roman" w:hAnsi="Times New Roman"/>
          <w:sz w:val="28"/>
        </w:rPr>
        <w:t xml:space="preserve">в строках 72, 73 и 73.1 приложения № 2 к нему </w:t>
      </w:r>
      <w:r>
        <w:rPr>
          <w:rFonts w:ascii="Times New Roman" w:hAnsi="Times New Roman"/>
          <w:sz w:val="28"/>
        </w:rPr>
        <w:t>слова «</w:t>
      </w:r>
      <w:r>
        <w:rPr>
          <w:rFonts w:ascii="Times New Roman" w:hAnsi="Times New Roman"/>
          <w:sz w:val="28"/>
        </w:rPr>
        <w:t>рублей/км</w:t>
      </w:r>
      <w:r>
        <w:rPr>
          <w:rFonts w:ascii="Times New Roman" w:hAnsi="Times New Roman"/>
          <w:sz w:val="28"/>
        </w:rPr>
        <w:t xml:space="preserve">» словами </w:t>
      </w:r>
      <w:r>
        <w:rPr>
          <w:rFonts w:ascii="Times New Roman" w:hAnsi="Times New Roman"/>
          <w:sz w:val="28"/>
        </w:rPr>
        <w:t>«рублей/</w:t>
      </w:r>
      <w:r>
        <w:rPr>
          <w:rFonts w:ascii="Times New Roman" w:hAnsi="Times New Roman"/>
          <w:sz w:val="28"/>
        </w:rPr>
        <w:t>кВт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>.</w:t>
      </w:r>
    </w:p>
    <w:p w14:paraId="17000000">
      <w:pPr>
        <w:pStyle w:val="Style_1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>Постановление вступает в силу со дня его официального опубликования.</w:t>
      </w:r>
    </w:p>
    <w:p w14:paraId="18000000">
      <w:pPr>
        <w:pStyle w:val="Style_1"/>
        <w:widowControl w:val="1"/>
        <w:ind/>
        <w:jc w:val="both"/>
        <w:rPr>
          <w:rFonts w:ascii="Times New Roman" w:hAnsi="Times New Roman"/>
          <w:sz w:val="28"/>
        </w:rPr>
      </w:pPr>
    </w:p>
    <w:p w14:paraId="19000000">
      <w:pPr>
        <w:pStyle w:val="Style_1"/>
        <w:widowControl w:val="1"/>
        <w:ind/>
        <w:jc w:val="both"/>
        <w:rPr>
          <w:rFonts w:ascii="Times New Roman" w:hAnsi="Times New Roman"/>
          <w:sz w:val="28"/>
        </w:rPr>
      </w:pPr>
    </w:p>
    <w:p w14:paraId="1A000000">
      <w:pPr>
        <w:pStyle w:val="Style_1"/>
        <w:widowControl w:val="1"/>
        <w:ind/>
        <w:jc w:val="both"/>
        <w:rPr>
          <w:rFonts w:ascii="Times New Roman" w:hAnsi="Times New Roman"/>
          <w:sz w:val="28"/>
        </w:rPr>
      </w:pPr>
    </w:p>
    <w:p w14:paraId="1B000000">
      <w:pPr>
        <w:tabs>
          <w:tab w:leader="none" w:pos="850" w:val="left"/>
        </w:tabs>
        <w:spacing w:line="302" w:lineRule="exact"/>
        <w:ind/>
        <w:rPr>
          <w:b w:val="1"/>
          <w:sz w:val="28"/>
        </w:rPr>
      </w:pPr>
      <w:r>
        <w:rPr>
          <w:b w:val="1"/>
          <w:sz w:val="28"/>
        </w:rPr>
        <w:t xml:space="preserve">Руководитель </w:t>
      </w:r>
    </w:p>
    <w:p w14:paraId="1C000000">
      <w:pPr>
        <w:tabs>
          <w:tab w:leader="none" w:pos="850" w:val="left"/>
        </w:tabs>
        <w:spacing w:line="302" w:lineRule="exact"/>
        <w:ind/>
        <w:rPr>
          <w:b w:val="1"/>
          <w:sz w:val="28"/>
        </w:rPr>
      </w:pPr>
      <w:r>
        <w:rPr>
          <w:b w:val="1"/>
          <w:sz w:val="28"/>
        </w:rPr>
        <w:t xml:space="preserve">Региональной службы по тарифам </w:t>
      </w:r>
    </w:p>
    <w:p w14:paraId="1D000000">
      <w:pPr>
        <w:pStyle w:val="Style_1"/>
        <w:widowControl w:val="1"/>
        <w:ind w:firstLine="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Ростовской области</w:t>
      </w:r>
      <w:r>
        <w:rPr>
          <w:rFonts w:ascii="Times New Roman" w:hAnsi="Times New Roman"/>
          <w:b w:val="1"/>
          <w:sz w:val="28"/>
        </w:rPr>
        <w:tab/>
      </w:r>
      <w:r>
        <w:rPr>
          <w:rFonts w:ascii="Times New Roman" w:hAnsi="Times New Roman"/>
          <w:b w:val="1"/>
          <w:sz w:val="28"/>
        </w:rPr>
        <w:t xml:space="preserve">                                        </w:t>
      </w:r>
      <w:r>
        <w:rPr>
          <w:rFonts w:ascii="Times New Roman" w:hAnsi="Times New Roman"/>
          <w:b w:val="1"/>
          <w:sz w:val="28"/>
        </w:rPr>
        <w:tab/>
      </w:r>
      <w:r>
        <w:rPr>
          <w:rFonts w:ascii="Times New Roman" w:hAnsi="Times New Roman"/>
          <w:b w:val="1"/>
          <w:sz w:val="28"/>
        </w:rPr>
        <w:tab/>
      </w:r>
      <w:r>
        <w:rPr>
          <w:rFonts w:ascii="Times New Roman" w:hAnsi="Times New Roman"/>
          <w:b w:val="1"/>
          <w:sz w:val="28"/>
        </w:rPr>
        <w:t xml:space="preserve">    </w:t>
      </w:r>
      <w:r>
        <w:rPr>
          <w:rFonts w:ascii="Times New Roman" w:hAnsi="Times New Roman"/>
          <w:b w:val="1"/>
          <w:sz w:val="28"/>
        </w:rPr>
        <w:tab/>
      </w:r>
      <w:r>
        <w:rPr>
          <w:rFonts w:ascii="Times New Roman" w:hAnsi="Times New Roman"/>
          <w:b w:val="1"/>
          <w:sz w:val="28"/>
        </w:rPr>
        <w:t xml:space="preserve">        </w:t>
      </w:r>
      <w:r>
        <w:rPr>
          <w:rFonts w:ascii="Times New Roman" w:hAnsi="Times New Roman"/>
          <w:b w:val="1"/>
          <w:sz w:val="28"/>
        </w:rPr>
        <w:t>А.В. Лукьянов</w:t>
      </w:r>
    </w:p>
    <w:sectPr>
      <w:pgSz w:h="16838" w:orient="portrait" w:w="11906"/>
      <w:pgMar w:bottom="851" w:footer="709" w:gutter="0" w:header="709" w:left="1134" w:right="851" w:top="993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0"/>
      <w:ind/>
    </w:pPr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Placeholder Text"/>
    <w:link w:val="Style_5_ch"/>
    <w:rPr>
      <w:color w:val="808080"/>
    </w:rPr>
  </w:style>
  <w:style w:styleId="Style_5_ch" w:type="character">
    <w:name w:val="Placeholder Text"/>
    <w:link w:val="Style_5"/>
    <w:rPr>
      <w:color w:val="808080"/>
    </w:rPr>
  </w:style>
  <w:style w:styleId="Style_6" w:type="paragraph">
    <w:name w:val="toc 6"/>
    <w:next w:val="Style_2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2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1" w:type="paragraph">
    <w:name w:val="ConsPlusNormal"/>
    <w:link w:val="Style_1_ch"/>
    <w:pPr>
      <w:widowControl w:val="0"/>
      <w:ind w:firstLine="720" w:left="0"/>
    </w:pPr>
    <w:rPr>
      <w:rFonts w:ascii="Arial" w:hAnsi="Arial"/>
    </w:rPr>
  </w:style>
  <w:style w:styleId="Style_1_ch" w:type="character">
    <w:name w:val="ConsPlusNormal"/>
    <w:link w:val="Style_1"/>
    <w:rPr>
      <w:rFonts w:ascii="Arial" w:hAnsi="Arial"/>
    </w:rPr>
  </w:style>
  <w:style w:styleId="Style_9" w:type="paragraph">
    <w:name w:val="Balloon Text"/>
    <w:basedOn w:val="Style_2"/>
    <w:link w:val="Style_9_ch"/>
    <w:rPr>
      <w:rFonts w:ascii="Tahoma" w:hAnsi="Tahoma"/>
      <w:sz w:val="16"/>
    </w:rPr>
  </w:style>
  <w:style w:styleId="Style_9_ch" w:type="character">
    <w:name w:val="Balloon Text"/>
    <w:basedOn w:val="Style_2_ch"/>
    <w:link w:val="Style_9"/>
    <w:rPr>
      <w:rFonts w:ascii="Tahoma" w:hAnsi="Tahoma"/>
      <w:sz w:val="16"/>
    </w:rPr>
  </w:style>
  <w:style w:styleId="Style_10" w:type="paragraph">
    <w:name w:val="Знак1 Знак Знак Знак1"/>
    <w:basedOn w:val="Style_2"/>
    <w:link w:val="Style_10_ch"/>
    <w:pPr>
      <w:widowControl w:val="1"/>
      <w:spacing w:afterAutospacing="on" w:beforeAutospacing="on"/>
      <w:ind/>
    </w:pPr>
    <w:rPr>
      <w:rFonts w:ascii="Tahoma" w:hAnsi="Tahoma"/>
    </w:rPr>
  </w:style>
  <w:style w:styleId="Style_10_ch" w:type="character">
    <w:name w:val="Знак1 Знак Знак Знак1"/>
    <w:basedOn w:val="Style_2_ch"/>
    <w:link w:val="Style_10"/>
    <w:rPr>
      <w:rFonts w:ascii="Tahoma" w:hAnsi="Tahoma"/>
    </w:rPr>
  </w:style>
  <w:style w:styleId="Style_11" w:type="paragraph">
    <w:name w:val="toc 3"/>
    <w:next w:val="Style_2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er"/>
    <w:basedOn w:val="Style_2"/>
    <w:link w:val="Style_12_ch"/>
    <w:pPr>
      <w:widowControl w:val="1"/>
      <w:tabs>
        <w:tab w:leader="none" w:pos="4677" w:val="center"/>
        <w:tab w:leader="none" w:pos="9355" w:val="right"/>
      </w:tabs>
      <w:ind/>
    </w:pPr>
    <w:rPr>
      <w:rFonts w:ascii="Calibri" w:hAnsi="Calibri"/>
      <w:sz w:val="22"/>
    </w:rPr>
  </w:style>
  <w:style w:styleId="Style_12_ch" w:type="character">
    <w:name w:val="header"/>
    <w:basedOn w:val="Style_2_ch"/>
    <w:link w:val="Style_12"/>
    <w:rPr>
      <w:rFonts w:ascii="Calibri" w:hAnsi="Calibri"/>
      <w:sz w:val="22"/>
    </w:rPr>
  </w:style>
  <w:style w:styleId="Style_13" w:type="paragraph">
    <w:name w:val="heading 5"/>
    <w:next w:val="Style_2"/>
    <w:link w:val="Style_1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heading 1"/>
    <w:next w:val="Style_2"/>
    <w:link w:val="Style_14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15" w:type="paragraph">
    <w:name w:val="Body Text"/>
    <w:basedOn w:val="Style_2"/>
    <w:link w:val="Style_15_ch"/>
    <w:pPr>
      <w:widowControl w:val="1"/>
      <w:ind/>
      <w:jc w:val="both"/>
    </w:pPr>
    <w:rPr>
      <w:sz w:val="28"/>
    </w:rPr>
  </w:style>
  <w:style w:styleId="Style_15_ch" w:type="character">
    <w:name w:val="Body Text"/>
    <w:basedOn w:val="Style_2_ch"/>
    <w:link w:val="Style_15"/>
    <w:rPr>
      <w:sz w:val="28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next w:val="Style_2"/>
    <w:link w:val="Style_18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spacing w:line="240" w:lineRule="auto"/>
      <w:ind/>
      <w:jc w:val="both"/>
    </w:pPr>
    <w:rPr>
      <w:rFonts w:ascii="XO Thames" w:hAnsi="XO Thames"/>
      <w:sz w:val="20"/>
    </w:rPr>
  </w:style>
  <w:style w:styleId="Style_19_ch" w:type="character">
    <w:name w:val="Header and Footer"/>
    <w:link w:val="Style_19"/>
    <w:rPr>
      <w:rFonts w:ascii="XO Thames" w:hAnsi="XO Thames"/>
      <w:sz w:val="20"/>
    </w:rPr>
  </w:style>
  <w:style w:styleId="Style_20" w:type="paragraph">
    <w:name w:val="Знак1 Знак Знак Знак"/>
    <w:basedOn w:val="Style_2"/>
    <w:link w:val="Style_20_ch"/>
    <w:pPr>
      <w:widowControl w:val="1"/>
      <w:spacing w:afterAutospacing="on" w:beforeAutospacing="on"/>
      <w:ind/>
    </w:pPr>
    <w:rPr>
      <w:rFonts w:ascii="Tahoma" w:hAnsi="Tahoma"/>
    </w:rPr>
  </w:style>
  <w:style w:styleId="Style_20_ch" w:type="character">
    <w:name w:val="Знак1 Знак Знак Знак"/>
    <w:basedOn w:val="Style_2_ch"/>
    <w:link w:val="Style_20"/>
    <w:rPr>
      <w:rFonts w:ascii="Tahoma" w:hAnsi="Tahoma"/>
    </w:rPr>
  </w:style>
  <w:style w:styleId="Style_21" w:type="paragraph">
    <w:name w:val="toc 9"/>
    <w:next w:val="Style_2"/>
    <w:link w:val="Style_21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1_ch" w:type="character">
    <w:name w:val="toc 9"/>
    <w:link w:val="Style_21"/>
    <w:rPr>
      <w:rFonts w:ascii="XO Thames" w:hAnsi="XO Thames"/>
      <w:sz w:val="28"/>
    </w:rPr>
  </w:style>
  <w:style w:styleId="Style_22" w:type="paragraph">
    <w:name w:val="toc 8"/>
    <w:next w:val="Style_2"/>
    <w:link w:val="Style_22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23" w:type="paragraph">
    <w:name w:val="toc 5"/>
    <w:next w:val="Style_2"/>
    <w:link w:val="Style_23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3_ch" w:type="character">
    <w:name w:val="toc 5"/>
    <w:link w:val="Style_23"/>
    <w:rPr>
      <w:rFonts w:ascii="XO Thames" w:hAnsi="XO Thames"/>
      <w:sz w:val="28"/>
    </w:rPr>
  </w:style>
  <w:style w:styleId="Style_24" w:type="paragraph">
    <w:name w:val="List Paragraph"/>
    <w:basedOn w:val="Style_2"/>
    <w:link w:val="Style_24_ch"/>
    <w:pPr>
      <w:widowControl w:val="1"/>
      <w:spacing w:after="160" w:line="264" w:lineRule="auto"/>
      <w:ind w:firstLine="0" w:left="720"/>
      <w:contextualSpacing w:val="1"/>
    </w:pPr>
    <w:rPr>
      <w:rFonts w:ascii="Calibri" w:hAnsi="Calibri"/>
      <w:sz w:val="22"/>
    </w:rPr>
  </w:style>
  <w:style w:styleId="Style_24_ch" w:type="character">
    <w:name w:val="List Paragraph"/>
    <w:basedOn w:val="Style_2_ch"/>
    <w:link w:val="Style_24"/>
    <w:rPr>
      <w:rFonts w:ascii="Calibri" w:hAnsi="Calibri"/>
      <w:sz w:val="22"/>
    </w:rPr>
  </w:style>
  <w:style w:styleId="Style_25" w:type="paragraph">
    <w:name w:val="Default Paragraph Font"/>
    <w:link w:val="Style_25_ch"/>
  </w:style>
  <w:style w:styleId="Style_25_ch" w:type="character">
    <w:name w:val="Default Paragraph Font"/>
    <w:link w:val="Style_25"/>
  </w:style>
  <w:style w:styleId="Style_26" w:type="paragraph">
    <w:name w:val="1"/>
    <w:basedOn w:val="Style_2"/>
    <w:link w:val="Style_26_ch"/>
    <w:pPr>
      <w:widowControl w:val="1"/>
      <w:spacing w:afterAutospacing="on" w:beforeAutospacing="on"/>
      <w:ind/>
    </w:pPr>
    <w:rPr>
      <w:rFonts w:ascii="Tahoma" w:hAnsi="Tahoma"/>
    </w:rPr>
  </w:style>
  <w:style w:styleId="Style_26_ch" w:type="character">
    <w:name w:val="1"/>
    <w:basedOn w:val="Style_2_ch"/>
    <w:link w:val="Style_26"/>
    <w:rPr>
      <w:rFonts w:ascii="Tahoma" w:hAnsi="Tahoma"/>
    </w:rPr>
  </w:style>
  <w:style w:styleId="Style_27" w:type="paragraph">
    <w:name w:val="Subtitle"/>
    <w:next w:val="Style_2"/>
    <w:link w:val="Style_2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7_ch" w:type="character">
    <w:name w:val="Subtitle"/>
    <w:link w:val="Style_27"/>
    <w:rPr>
      <w:rFonts w:ascii="XO Thames" w:hAnsi="XO Thames"/>
      <w:i w:val="1"/>
      <w:sz w:val="24"/>
    </w:rPr>
  </w:style>
  <w:style w:styleId="Style_28" w:type="paragraph">
    <w:name w:val="Title"/>
    <w:next w:val="Style_2"/>
    <w:link w:val="Style_2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8_ch" w:type="character">
    <w:name w:val="Title"/>
    <w:link w:val="Style_28"/>
    <w:rPr>
      <w:rFonts w:ascii="XO Thames" w:hAnsi="XO Thames"/>
      <w:b w:val="1"/>
      <w:caps w:val="1"/>
      <w:sz w:val="40"/>
    </w:rPr>
  </w:style>
  <w:style w:styleId="Style_29" w:type="paragraph">
    <w:name w:val="heading 4"/>
    <w:next w:val="Style_2"/>
    <w:link w:val="Style_2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9_ch" w:type="character">
    <w:name w:val="heading 4"/>
    <w:link w:val="Style_29"/>
    <w:rPr>
      <w:rFonts w:ascii="XO Thames" w:hAnsi="XO Thames"/>
      <w:b w:val="1"/>
      <w:sz w:val="24"/>
    </w:rPr>
  </w:style>
  <w:style w:styleId="Style_30" w:type="paragraph">
    <w:name w:val="footer"/>
    <w:basedOn w:val="Style_2"/>
    <w:link w:val="Style_30_ch"/>
    <w:pPr>
      <w:widowControl w:val="1"/>
      <w:tabs>
        <w:tab w:leader="none" w:pos="4677" w:val="center"/>
        <w:tab w:leader="none" w:pos="9355" w:val="right"/>
      </w:tabs>
      <w:ind/>
    </w:pPr>
    <w:rPr>
      <w:rFonts w:ascii="Calibri" w:hAnsi="Calibri"/>
      <w:sz w:val="22"/>
    </w:rPr>
  </w:style>
  <w:style w:styleId="Style_30_ch" w:type="character">
    <w:name w:val="footer"/>
    <w:basedOn w:val="Style_2_ch"/>
    <w:link w:val="Style_30"/>
    <w:rPr>
      <w:rFonts w:ascii="Calibri" w:hAnsi="Calibri"/>
      <w:sz w:val="22"/>
    </w:rPr>
  </w:style>
  <w:style w:styleId="Style_31" w:type="paragraph">
    <w:name w:val="heading 2"/>
    <w:next w:val="Style_2"/>
    <w:link w:val="Style_3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1_ch" w:type="character">
    <w:name w:val="heading 2"/>
    <w:link w:val="Style_31"/>
    <w:rPr>
      <w:rFonts w:ascii="XO Thames" w:hAnsi="XO Thames"/>
      <w:b w:val="1"/>
      <w:sz w:val="28"/>
    </w:rPr>
  </w:style>
  <w:style w:styleId="Style_32" w:type="table">
    <w:name w:val="Table Grid"/>
    <w:basedOn w:val="Style_33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3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2025-05-28T07:31:31Z</dcterms:modified>
</cp:coreProperties>
</file>