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right"/>
      </w:pPr>
      <w:r>
        <w:t>Приложение № 1</w:t>
      </w:r>
      <w:r>
        <w:t xml:space="preserve"> </w:t>
      </w:r>
    </w:p>
    <w:p w14:paraId="02000000">
      <w:pPr>
        <w:ind/>
        <w:jc w:val="right"/>
      </w:pPr>
      <w:r>
        <w:t xml:space="preserve">к протоколу заседания Правления </w:t>
      </w:r>
    </w:p>
    <w:p w14:paraId="03000000">
      <w:pPr>
        <w:ind/>
        <w:jc w:val="right"/>
      </w:pPr>
      <w:r>
        <w:t xml:space="preserve">Региональной службы по тарифам </w:t>
      </w:r>
    </w:p>
    <w:p w14:paraId="04000000">
      <w:pPr>
        <w:ind/>
        <w:jc w:val="right"/>
      </w:pPr>
      <w:r>
        <w:t>Ростовской области</w:t>
      </w:r>
    </w:p>
    <w:p w14:paraId="05000000">
      <w:pPr>
        <w:ind/>
        <w:jc w:val="right"/>
      </w:pPr>
      <w:r>
        <w:t>от 30</w:t>
      </w:r>
      <w:r>
        <w:t>.11.2023 № 61</w:t>
      </w:r>
    </w:p>
    <w:p w14:paraId="06000000">
      <w:pPr>
        <w:tabs>
          <w:tab w:leader="underscore" w:pos="3475" w:val="left"/>
          <w:tab w:leader="underscore" w:pos="9830" w:val="left"/>
        </w:tabs>
        <w:ind/>
        <w:rPr>
          <w:sz w:val="24"/>
        </w:rPr>
      </w:pPr>
    </w:p>
    <w:p w14:paraId="07000000">
      <w:pPr>
        <w:tabs>
          <w:tab w:leader="underscore" w:pos="3475" w:val="left"/>
          <w:tab w:leader="underscore" w:pos="9830" w:val="left"/>
        </w:tabs>
        <w:ind/>
        <w:rPr>
          <w:sz w:val="24"/>
        </w:rPr>
      </w:pPr>
    </w:p>
    <w:p w14:paraId="08000000">
      <w:pPr>
        <w:tabs>
          <w:tab w:leader="underscore" w:pos="3475" w:val="left"/>
          <w:tab w:leader="underscore" w:pos="9830" w:val="left"/>
        </w:tabs>
        <w:ind/>
        <w:rPr>
          <w:sz w:val="24"/>
        </w:rPr>
      </w:pPr>
    </w:p>
    <w:p w14:paraId="09000000">
      <w:pPr>
        <w:tabs>
          <w:tab w:leader="underscore" w:pos="3475" w:val="left"/>
          <w:tab w:leader="underscore" w:pos="9830" w:val="left"/>
        </w:tabs>
        <w:ind/>
        <w:rPr>
          <w:sz w:val="24"/>
        </w:rPr>
      </w:pPr>
    </w:p>
    <w:p w14:paraId="0A000000">
      <w:pPr>
        <w:ind/>
        <w:jc w:val="center"/>
        <w:rPr>
          <w:b w:val="1"/>
        </w:rPr>
      </w:pPr>
      <w:r>
        <w:rPr>
          <w:b w:val="1"/>
        </w:rPr>
        <w:drawing>
          <wp:inline>
            <wp:extent cx="617220" cy="61722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7220" cy="6172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B000000">
      <w:pPr>
        <w:ind/>
        <w:jc w:val="center"/>
        <w:rPr>
          <w:b w:val="1"/>
          <w:sz w:val="26"/>
        </w:rPr>
      </w:pPr>
    </w:p>
    <w:p w14:paraId="0C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D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E000000">
      <w:pPr>
        <w:ind/>
        <w:jc w:val="center"/>
        <w:rPr>
          <w:b w:val="1"/>
          <w:sz w:val="26"/>
        </w:rPr>
      </w:pPr>
    </w:p>
    <w:p w14:paraId="0F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10000000">
      <w:pPr>
        <w:tabs>
          <w:tab w:leader="none" w:pos="3998" w:val="left"/>
          <w:tab w:leader="none" w:pos="9498" w:val="left"/>
        </w:tabs>
        <w:spacing w:before="312"/>
        <w:ind w:firstLine="568" w:left="-142"/>
        <w:rPr>
          <w:sz w:val="28"/>
        </w:rPr>
      </w:pPr>
      <w:r>
        <w:rPr>
          <w:sz w:val="28"/>
        </w:rPr>
        <w:t>30</w:t>
      </w:r>
      <w:r>
        <w:rPr>
          <w:sz w:val="28"/>
        </w:rPr>
        <w:t>.11</w:t>
      </w:r>
      <w:r>
        <w:rPr>
          <w:sz w:val="28"/>
        </w:rPr>
        <w:t xml:space="preserve">.2023                              </w:t>
      </w:r>
      <w:bookmarkStart w:id="1" w:name="_GoBack"/>
      <w:bookmarkEnd w:id="1"/>
      <w:r>
        <w:rPr>
          <w:sz w:val="28"/>
        </w:rPr>
        <w:t xml:space="preserve">  г. Ростов-на-Дону                                    № 758</w:t>
      </w:r>
    </w:p>
    <w:p w14:paraId="11000000">
      <w:pPr>
        <w:spacing w:line="322" w:lineRule="exact"/>
        <w:ind w:firstLine="568" w:left="-142"/>
        <w:jc w:val="center"/>
        <w:rPr>
          <w:b w:val="1"/>
          <w:sz w:val="28"/>
        </w:rPr>
      </w:pPr>
    </w:p>
    <w:p w14:paraId="12000000">
      <w:pPr>
        <w:spacing w:line="322" w:lineRule="exact"/>
        <w:ind w:firstLine="568" w:left="-142"/>
        <w:jc w:val="center"/>
        <w:rPr>
          <w:b w:val="1"/>
          <w:sz w:val="28"/>
        </w:rPr>
      </w:pPr>
      <w:r>
        <w:rPr>
          <w:b w:val="1"/>
          <w:sz w:val="28"/>
        </w:rPr>
        <w:t>Об установлении розничной цены на природный газ,</w:t>
      </w:r>
    </w:p>
    <w:p w14:paraId="13000000">
      <w:pPr>
        <w:spacing w:line="322" w:lineRule="exact"/>
        <w:ind w:firstLine="568" w:left="-142"/>
        <w:jc w:val="center"/>
        <w:rPr>
          <w:sz w:val="28"/>
        </w:rPr>
      </w:pPr>
      <w:r>
        <w:rPr>
          <w:b w:val="1"/>
          <w:sz w:val="28"/>
        </w:rPr>
        <w:t>реализуемый</w:t>
      </w:r>
      <w:r>
        <w:rPr>
          <w:b w:val="1"/>
          <w:sz w:val="28"/>
        </w:rPr>
        <w:t xml:space="preserve"> населению Ростовской области</w:t>
      </w:r>
    </w:p>
    <w:p w14:paraId="14000000">
      <w:pPr>
        <w:widowControl w:val="1"/>
        <w:ind w:firstLine="568" w:left="-142"/>
        <w:jc w:val="both"/>
        <w:rPr>
          <w:sz w:val="28"/>
        </w:rPr>
      </w:pPr>
    </w:p>
    <w:p w14:paraId="15000000">
      <w:pPr>
        <w:widowControl w:val="1"/>
        <w:ind w:firstLine="568" w:left="-142"/>
        <w:jc w:val="both"/>
        <w:rPr>
          <w:sz w:val="28"/>
        </w:rPr>
      </w:pPr>
      <w:r>
        <w:rPr>
          <w:sz w:val="28"/>
        </w:rPr>
        <w:t>В соответствии с постановлением Правительства Российской Федерации от 29.12.</w:t>
      </w:r>
      <w:r>
        <w:rPr>
          <w:sz w:val="28"/>
        </w:rPr>
        <w:t>2000 № 1021 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</w:t>
      </w:r>
      <w:r>
        <w:rPr>
          <w:sz w:val="28"/>
        </w:rPr>
        <w:t>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</w:t>
      </w:r>
      <w:r>
        <w:rPr>
          <w:sz w:val="28"/>
        </w:rPr>
        <w:t>, предназначенных для транспортировки г</w:t>
      </w:r>
      <w:r>
        <w:rPr>
          <w:sz w:val="28"/>
        </w:rPr>
        <w:t>аза от месторождений природного газа до магистрального газопровода», постановлением Правительства Российской Федерации от 24.11.2023 № 1979 «О внесении изменений в некоторые акты Правительства Российской Федерации», приказом Федеральной службы по тарифам о</w:t>
      </w:r>
      <w:r>
        <w:rPr>
          <w:sz w:val="28"/>
        </w:rPr>
        <w:t xml:space="preserve">т 27.10.2011 № 252-э/2 «Об утверждении Методических указаний по регулированию розничных цен на газ, реализуемый населению», </w:t>
      </w:r>
      <w:r>
        <w:rPr>
          <w:sz w:val="28"/>
        </w:rPr>
        <w:t>на</w:t>
      </w:r>
      <w:r>
        <w:rPr>
          <w:sz w:val="28"/>
        </w:rPr>
        <w:t xml:space="preserve"> </w:t>
      </w:r>
      <w:r>
        <w:rPr>
          <w:sz w:val="28"/>
        </w:rPr>
        <w:t>основании</w:t>
      </w:r>
      <w:r>
        <w:rPr>
          <w:sz w:val="28"/>
        </w:rPr>
        <w:t xml:space="preserve"> Положения о Региональной службе по тарифам Ростовской области, утвержденного постановлением Правительства Ростовской об</w:t>
      </w:r>
      <w:r>
        <w:rPr>
          <w:sz w:val="28"/>
        </w:rPr>
        <w:t>ласти от 13.01.2012 № 20, Региональная служба по тарифам Ростовской области</w:t>
      </w:r>
    </w:p>
    <w:p w14:paraId="16000000">
      <w:pPr>
        <w:widowControl w:val="1"/>
        <w:ind w:firstLine="568" w:left="-142"/>
        <w:jc w:val="both"/>
        <w:rPr>
          <w:sz w:val="28"/>
        </w:rPr>
      </w:pPr>
    </w:p>
    <w:p w14:paraId="17000000">
      <w:pPr>
        <w:spacing w:after="120" w:before="120"/>
        <w:ind w:firstLine="568" w:left="-142"/>
        <w:jc w:val="center"/>
        <w:rPr>
          <w:b w:val="1"/>
          <w:sz w:val="28"/>
        </w:rPr>
      </w:pPr>
      <w:r>
        <w:rPr>
          <w:b w:val="1"/>
          <w:sz w:val="28"/>
        </w:rPr>
        <w:t>постановляет:</w:t>
      </w:r>
    </w:p>
    <w:p w14:paraId="18000000">
      <w:pPr>
        <w:tabs>
          <w:tab w:leader="none" w:pos="1109" w:val="left"/>
        </w:tabs>
        <w:ind w:firstLine="568" w:left="-142"/>
        <w:jc w:val="both"/>
        <w:rPr>
          <w:sz w:val="28"/>
        </w:rPr>
      </w:pPr>
      <w:r>
        <w:rPr>
          <w:sz w:val="28"/>
        </w:rPr>
        <w:t>1. Установить розничные цены на природный газ, реализуемый населению Ростовской области, согласно приложению к настоящему постановлению.</w:t>
      </w:r>
    </w:p>
    <w:p w14:paraId="19000000">
      <w:pPr>
        <w:tabs>
          <w:tab w:leader="none" w:pos="1214" w:val="left"/>
        </w:tabs>
        <w:ind w:firstLine="568" w:left="-142"/>
        <w:jc w:val="both"/>
        <w:rPr>
          <w:sz w:val="28"/>
        </w:rPr>
      </w:pPr>
      <w:r>
        <w:rPr>
          <w:sz w:val="28"/>
        </w:rPr>
        <w:t xml:space="preserve">2. Розничные цены, </w:t>
      </w:r>
      <w:r>
        <w:rPr>
          <w:sz w:val="28"/>
        </w:rPr>
        <w:t>установленные пунктом 1 настоящего постановления, являются обязательными для применения на территории Ростовской области.</w:t>
      </w:r>
    </w:p>
    <w:p w14:paraId="1A000000">
      <w:pPr>
        <w:tabs>
          <w:tab w:leader="none" w:pos="1214" w:val="left"/>
        </w:tabs>
        <w:ind w:firstLine="568" w:left="-142"/>
        <w:jc w:val="both"/>
        <w:rPr>
          <w:sz w:val="28"/>
        </w:rPr>
      </w:pPr>
      <w:r>
        <w:rPr>
          <w:sz w:val="28"/>
        </w:rPr>
        <w:t xml:space="preserve">3. Признать утратившим силу постановление Региональной службы по тарифам </w:t>
      </w:r>
      <w:r>
        <w:rPr>
          <w:sz w:val="28"/>
        </w:rPr>
        <w:t>Ростовской области от 22.11.2022 № 65/2 «Об установлении розн</w:t>
      </w:r>
      <w:r>
        <w:rPr>
          <w:sz w:val="28"/>
        </w:rPr>
        <w:t>ичной цены на природный газ, реализуемый населению Ростовской области».</w:t>
      </w:r>
    </w:p>
    <w:p w14:paraId="1B000000">
      <w:pPr>
        <w:tabs>
          <w:tab w:leader="none" w:pos="1214" w:val="left"/>
        </w:tabs>
        <w:ind w:firstLine="568" w:left="-142"/>
        <w:jc w:val="both"/>
        <w:rPr>
          <w:sz w:val="28"/>
        </w:rPr>
      </w:pPr>
      <w:r>
        <w:rPr>
          <w:sz w:val="28"/>
        </w:rPr>
        <w:t xml:space="preserve">4. </w:t>
      </w:r>
      <w:r>
        <w:rPr>
          <w:sz w:val="28"/>
        </w:rPr>
        <w:t>Постановление подлежит официальному опубликованию, размещению на официальном сайте Региональной службы по тарифам Ростовской области в информационно-телекоммуникационной сети «Интер</w:t>
      </w:r>
      <w:r>
        <w:rPr>
          <w:sz w:val="28"/>
        </w:rPr>
        <w:t xml:space="preserve">нет» </w:t>
      </w:r>
      <w:r>
        <w:rPr>
          <w:sz w:val="28"/>
        </w:rPr>
        <w:fldChar w:fldCharType="begin"/>
      </w:r>
      <w:r>
        <w:rPr>
          <w:sz w:val="28"/>
        </w:rPr>
        <w:instrText>HYPERLINK "http://rst.donland.ru"</w:instrText>
      </w:r>
      <w:r>
        <w:rPr>
          <w:sz w:val="28"/>
        </w:rPr>
        <w:fldChar w:fldCharType="separate"/>
      </w:r>
      <w:r>
        <w:rPr>
          <w:sz w:val="28"/>
        </w:rPr>
        <w:t>http://rst.donland.ru</w:t>
      </w:r>
      <w:r>
        <w:rPr>
          <w:sz w:val="28"/>
        </w:rPr>
        <w:fldChar w:fldCharType="end"/>
      </w:r>
      <w:r>
        <w:rPr>
          <w:sz w:val="28"/>
        </w:rPr>
        <w:t xml:space="preserve"> и вступает в силу со дня его официального опубликования.</w:t>
      </w:r>
    </w:p>
    <w:p w14:paraId="1C000000">
      <w:pPr>
        <w:tabs>
          <w:tab w:leader="none" w:pos="1214" w:val="left"/>
        </w:tabs>
        <w:ind w:firstLine="726" w:left="0"/>
        <w:jc w:val="both"/>
        <w:rPr>
          <w:sz w:val="28"/>
        </w:rPr>
      </w:pPr>
    </w:p>
    <w:p w14:paraId="1D000000">
      <w:pPr>
        <w:tabs>
          <w:tab w:leader="none" w:pos="1214" w:val="left"/>
        </w:tabs>
        <w:ind w:firstLine="726" w:left="0"/>
        <w:jc w:val="both"/>
        <w:rPr>
          <w:sz w:val="28"/>
        </w:rPr>
      </w:pPr>
    </w:p>
    <w:p w14:paraId="1E000000">
      <w:pPr>
        <w:tabs>
          <w:tab w:leader="none" w:pos="850" w:val="left"/>
        </w:tabs>
        <w:spacing w:line="302" w:lineRule="exact"/>
        <w:ind w:hanging="11" w:left="11"/>
        <w:rPr>
          <w:b w:val="1"/>
          <w:sz w:val="28"/>
        </w:rPr>
      </w:pPr>
      <w:r>
        <w:rPr>
          <w:b w:val="1"/>
          <w:sz w:val="28"/>
        </w:rPr>
        <w:t xml:space="preserve">Руководитель </w:t>
      </w:r>
    </w:p>
    <w:p w14:paraId="1F000000">
      <w:pPr>
        <w:tabs>
          <w:tab w:leader="none" w:pos="850" w:val="left"/>
        </w:tabs>
        <w:spacing w:line="302" w:lineRule="exact"/>
        <w:ind w:hanging="11" w:left="11"/>
        <w:rPr>
          <w:b w:val="1"/>
          <w:sz w:val="28"/>
        </w:rPr>
      </w:pPr>
      <w:r>
        <w:rPr>
          <w:b w:val="1"/>
          <w:sz w:val="28"/>
        </w:rPr>
        <w:t xml:space="preserve">Региональной службы </w:t>
      </w:r>
    </w:p>
    <w:p w14:paraId="20000000">
      <w:pPr>
        <w:tabs>
          <w:tab w:leader="none" w:pos="850" w:val="left"/>
        </w:tabs>
        <w:spacing w:line="302" w:lineRule="exact"/>
        <w:ind w:hanging="11" w:left="11"/>
        <w:rPr>
          <w:b w:val="1"/>
          <w:sz w:val="28"/>
        </w:rPr>
      </w:pPr>
      <w:r>
        <w:rPr>
          <w:b w:val="1"/>
          <w:sz w:val="28"/>
        </w:rPr>
        <w:t>по тарифам Ростовской области</w:t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 xml:space="preserve">    </w:t>
      </w:r>
      <w:r>
        <w:rPr>
          <w:b w:val="1"/>
          <w:sz w:val="28"/>
        </w:rPr>
        <w:tab/>
      </w:r>
      <w:r>
        <w:rPr>
          <w:b w:val="1"/>
          <w:sz w:val="28"/>
        </w:rPr>
        <w:t xml:space="preserve">                </w:t>
      </w:r>
      <w:r>
        <w:rPr>
          <w:b w:val="1"/>
          <w:sz w:val="28"/>
        </w:rPr>
        <w:t xml:space="preserve"> А. В. Лукьянов</w:t>
      </w:r>
    </w:p>
    <w:p w14:paraId="21000000">
      <w:pPr>
        <w:sectPr>
          <w:pgSz w:h="16834" w:orient="portrait" w:w="11909"/>
          <w:pgMar w:bottom="1135" w:footer="720" w:gutter="0" w:header="720" w:left="1134" w:right="567" w:top="993"/>
        </w:sectPr>
      </w:pPr>
    </w:p>
    <w:p w14:paraId="22000000">
      <w:pPr>
        <w:ind/>
        <w:jc w:val="right"/>
      </w:pPr>
      <w:r>
        <w:t>Приложение</w:t>
      </w:r>
    </w:p>
    <w:p w14:paraId="23000000">
      <w:pPr>
        <w:ind/>
        <w:jc w:val="right"/>
      </w:pPr>
      <w:r>
        <w:t>к постановлению</w:t>
      </w:r>
    </w:p>
    <w:p w14:paraId="24000000">
      <w:pPr>
        <w:ind/>
        <w:jc w:val="right"/>
      </w:pPr>
      <w:r>
        <w:t>Рег</w:t>
      </w:r>
      <w:r>
        <w:t>иональной службы</w:t>
      </w:r>
    </w:p>
    <w:p w14:paraId="25000000">
      <w:pPr>
        <w:ind/>
        <w:jc w:val="right"/>
      </w:pPr>
      <w:r>
        <w:t>по тарифам Ростовской области</w:t>
      </w:r>
    </w:p>
    <w:p w14:paraId="26000000">
      <w:pPr>
        <w:ind/>
        <w:jc w:val="right"/>
      </w:pPr>
      <w:r>
        <w:t>от 30</w:t>
      </w:r>
      <w:r>
        <w:t>.11.2023 № 758</w:t>
      </w:r>
    </w:p>
    <w:p w14:paraId="27000000">
      <w:pPr>
        <w:ind/>
        <w:jc w:val="right"/>
        <w:rPr>
          <w:b w:val="1"/>
          <w:sz w:val="26"/>
        </w:rPr>
      </w:pPr>
    </w:p>
    <w:p w14:paraId="28000000">
      <w:pPr>
        <w:ind w:firstLine="204" w:left="431"/>
        <w:jc w:val="center"/>
        <w:rPr>
          <w:b w:val="1"/>
          <w:sz w:val="26"/>
        </w:rPr>
      </w:pPr>
    </w:p>
    <w:p w14:paraId="29000000">
      <w:pPr>
        <w:ind w:firstLine="204" w:left="431"/>
        <w:jc w:val="center"/>
        <w:rPr>
          <w:b w:val="1"/>
          <w:sz w:val="24"/>
        </w:rPr>
      </w:pPr>
      <w:r>
        <w:rPr>
          <w:b w:val="1"/>
          <w:sz w:val="24"/>
        </w:rPr>
        <w:t xml:space="preserve">Розничные цены на природный газ, реализуемый населению </w:t>
      </w:r>
    </w:p>
    <w:p w14:paraId="2A000000">
      <w:pPr>
        <w:ind w:firstLine="204" w:left="431"/>
        <w:jc w:val="center"/>
        <w:rPr>
          <w:b w:val="1"/>
          <w:sz w:val="24"/>
        </w:rPr>
      </w:pPr>
      <w:r>
        <w:rPr>
          <w:b w:val="1"/>
          <w:sz w:val="24"/>
        </w:rPr>
        <w:t>Ростовской области</w:t>
      </w:r>
    </w:p>
    <w:p w14:paraId="2B000000">
      <w:pPr>
        <w:pStyle w:val="Style_1"/>
        <w:ind w:firstLine="0" w:left="0"/>
        <w:jc w:val="center"/>
        <w:outlineLvl w:val="1"/>
        <w:rPr>
          <w:sz w:val="24"/>
        </w:rPr>
      </w:pPr>
    </w:p>
    <w:tbl>
      <w:tblPr>
        <w:tblStyle w:val="Style_2"/>
        <w:tblInd w:type="dxa" w:w="-356"/>
        <w:tblLayout w:type="fixed"/>
        <w:tblCellMar>
          <w:left w:type="dxa" w:w="70"/>
          <w:right w:type="dxa" w:w="70"/>
        </w:tblCellMar>
      </w:tblPr>
      <w:tblGrid>
        <w:gridCol w:w="579"/>
        <w:gridCol w:w="4223"/>
        <w:gridCol w:w="2177"/>
        <w:gridCol w:w="1650"/>
        <w:gridCol w:w="1650"/>
      </w:tblGrid>
      <w:tr>
        <w:trPr>
          <w:trHeight w:hRule="atLeast" w:val="600"/>
        </w:trPr>
        <w:tc>
          <w:tcPr>
            <w:tcW w:type="dxa" w:w="57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C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п.п.</w:t>
            </w:r>
          </w:p>
        </w:tc>
        <w:tc>
          <w:tcPr>
            <w:tcW w:type="dxa" w:w="422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D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Направления использования газа населением</w:t>
            </w:r>
          </w:p>
        </w:tc>
        <w:tc>
          <w:tcPr>
            <w:tcW w:type="dxa" w:w="217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E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Единицы</w:t>
            </w:r>
          </w:p>
          <w:p w14:paraId="2F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измерения</w:t>
            </w:r>
          </w:p>
        </w:tc>
        <w:tc>
          <w:tcPr>
            <w:tcW w:type="dxa" w:w="330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Розничная  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цена на газ, </w:t>
            </w:r>
          </w:p>
          <w:p w14:paraId="31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 учетом НДС)</w:t>
            </w:r>
          </w:p>
        </w:tc>
      </w:tr>
      <w:tr>
        <w:trPr>
          <w:trHeight w:hRule="atLeast" w:val="600"/>
        </w:trPr>
        <w:tc>
          <w:tcPr>
            <w:tcW w:type="dxa" w:w="5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422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217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16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2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 1 декабря 2023 года </w:t>
            </w:r>
          </w:p>
        </w:tc>
        <w:tc>
          <w:tcPr>
            <w:tcW w:type="dxa" w:w="16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3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1 июля 2024 года</w:t>
            </w:r>
          </w:p>
        </w:tc>
      </w:tr>
      <w:tr>
        <w:trPr>
          <w:trHeight w:hRule="atLeast" w:val="960"/>
        </w:trPr>
        <w:tc>
          <w:tcPr>
            <w:tcW w:type="dxa" w:w="57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4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2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5000000">
            <w:pPr>
              <w:pStyle w:val="Style_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Приготовление пищи и нагрев воды с использованием газовой плиты (в отсутствие других направлений использования газа)</w:t>
            </w:r>
          </w:p>
        </w:tc>
        <w:tc>
          <w:tcPr>
            <w:tcW w:type="dxa" w:w="21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6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руб./1 куб. м, </w:t>
            </w:r>
            <w:r>
              <w:rPr>
                <w:rFonts w:ascii="Times New Roman" w:hAnsi="Times New Roman"/>
                <w:sz w:val="24"/>
              </w:rPr>
              <w:t>приведенный</w:t>
            </w:r>
            <w:r>
              <w:rPr>
                <w:rFonts w:ascii="Times New Roman" w:hAnsi="Times New Roman"/>
                <w:sz w:val="24"/>
              </w:rPr>
              <w:t xml:space="preserve"> к стандартным условиям</w:t>
            </w:r>
          </w:p>
        </w:tc>
        <w:tc>
          <w:tcPr>
            <w:tcW w:type="dxa" w:w="16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7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7,50</w:t>
            </w:r>
          </w:p>
        </w:tc>
        <w:tc>
          <w:tcPr>
            <w:tcW w:type="dxa" w:w="16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8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8,30</w:t>
            </w:r>
          </w:p>
        </w:tc>
      </w:tr>
      <w:tr>
        <w:trPr>
          <w:trHeight w:hRule="atLeast" w:val="960"/>
        </w:trPr>
        <w:tc>
          <w:tcPr>
            <w:tcW w:type="dxa" w:w="57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9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42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A000000">
            <w:pPr>
              <w:pStyle w:val="Style_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Нагрев воды с использованием </w:t>
            </w:r>
            <w:r>
              <w:rPr>
                <w:rFonts w:ascii="Times New Roman" w:hAnsi="Times New Roman"/>
                <w:sz w:val="24"/>
              </w:rPr>
              <w:t>газового водонагревателя при отсутствии центрального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горячего водоснабжения (в отсутствие других направлений использования газа) </w:t>
            </w:r>
          </w:p>
        </w:tc>
        <w:tc>
          <w:tcPr>
            <w:tcW w:type="dxa" w:w="21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B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руб./1 куб. м, </w:t>
            </w:r>
            <w:r>
              <w:rPr>
                <w:rFonts w:ascii="Times New Roman" w:hAnsi="Times New Roman"/>
                <w:sz w:val="24"/>
              </w:rPr>
              <w:t>приведенный</w:t>
            </w:r>
            <w:r>
              <w:rPr>
                <w:rFonts w:ascii="Times New Roman" w:hAnsi="Times New Roman"/>
                <w:sz w:val="24"/>
              </w:rPr>
              <w:t xml:space="preserve"> к стандартным условиям</w:t>
            </w:r>
          </w:p>
        </w:tc>
        <w:tc>
          <w:tcPr>
            <w:tcW w:type="dxa" w:w="16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C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7,50</w:t>
            </w:r>
          </w:p>
        </w:tc>
        <w:tc>
          <w:tcPr>
            <w:tcW w:type="dxa" w:w="16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D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8,30</w:t>
            </w:r>
          </w:p>
        </w:tc>
      </w:tr>
      <w:tr>
        <w:trPr>
          <w:trHeight w:hRule="atLeast" w:val="720"/>
        </w:trPr>
        <w:tc>
          <w:tcPr>
            <w:tcW w:type="dxa" w:w="57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E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42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F000000">
            <w:pPr>
              <w:pStyle w:val="Style_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Приготовление пищи и нагрев воды с использованием газовой плиты</w:t>
            </w:r>
            <w:r>
              <w:rPr>
                <w:rFonts w:ascii="Times New Roman" w:hAnsi="Times New Roman"/>
                <w:sz w:val="24"/>
              </w:rPr>
              <w:t xml:space="preserve"> и нагрев воды с использованием газового    водонагревателя при отсутствии центрального горячего водоснабжения (в отсутствие других направлений использования газа)</w:t>
            </w:r>
          </w:p>
        </w:tc>
        <w:tc>
          <w:tcPr>
            <w:tcW w:type="dxa" w:w="21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руб./1 куб. м, </w:t>
            </w:r>
            <w:r>
              <w:rPr>
                <w:rFonts w:ascii="Times New Roman" w:hAnsi="Times New Roman"/>
                <w:sz w:val="24"/>
              </w:rPr>
              <w:t>приведенных</w:t>
            </w:r>
            <w:r>
              <w:rPr>
                <w:rFonts w:ascii="Times New Roman" w:hAnsi="Times New Roman"/>
                <w:sz w:val="24"/>
              </w:rPr>
              <w:t xml:space="preserve"> к стандартным условиям</w:t>
            </w:r>
          </w:p>
        </w:tc>
        <w:tc>
          <w:tcPr>
            <w:tcW w:type="dxa" w:w="16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1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7,46</w:t>
            </w:r>
          </w:p>
        </w:tc>
        <w:tc>
          <w:tcPr>
            <w:tcW w:type="dxa" w:w="16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2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8,19</w:t>
            </w:r>
          </w:p>
        </w:tc>
      </w:tr>
      <w:tr>
        <w:trPr>
          <w:trHeight w:hRule="atLeast" w:val="480"/>
        </w:trPr>
        <w:tc>
          <w:tcPr>
            <w:tcW w:type="dxa" w:w="57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3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42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4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Отопление с одновременным </w:t>
            </w:r>
            <w:r>
              <w:rPr>
                <w:sz w:val="24"/>
              </w:rPr>
              <w:t>использованием газа на другие цели (кроме отопления и (или) выработки электрической энергии с использованием котельных всех типов и (или) иного оборудования, находящихся в общей долевой собственности собственников помещений в многоквартирных домах)</w:t>
            </w:r>
          </w:p>
        </w:tc>
        <w:tc>
          <w:tcPr>
            <w:tcW w:type="dxa" w:w="21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5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руб./10</w:t>
            </w:r>
            <w:r>
              <w:rPr>
                <w:rFonts w:ascii="Times New Roman" w:hAnsi="Times New Roman"/>
                <w:sz w:val="24"/>
              </w:rPr>
              <w:t xml:space="preserve">00 куб. м, </w:t>
            </w:r>
            <w:r>
              <w:rPr>
                <w:rFonts w:ascii="Times New Roman" w:hAnsi="Times New Roman"/>
                <w:sz w:val="24"/>
              </w:rPr>
              <w:t>приведенных</w:t>
            </w:r>
            <w:r>
              <w:rPr>
                <w:rFonts w:ascii="Times New Roman" w:hAnsi="Times New Roman"/>
                <w:sz w:val="24"/>
              </w:rPr>
              <w:t xml:space="preserve"> к стандартным условиям</w:t>
            </w:r>
          </w:p>
        </w:tc>
        <w:tc>
          <w:tcPr>
            <w:tcW w:type="dxa" w:w="16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6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7328,00</w:t>
            </w:r>
          </w:p>
        </w:tc>
        <w:tc>
          <w:tcPr>
            <w:tcW w:type="dxa" w:w="16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7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8050,00</w:t>
            </w:r>
          </w:p>
        </w:tc>
      </w:tr>
      <w:tr>
        <w:trPr>
          <w:trHeight w:hRule="atLeast" w:val="840"/>
        </w:trPr>
        <w:tc>
          <w:tcPr>
            <w:tcW w:type="dxa" w:w="57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8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42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9000000">
            <w:pPr>
              <w:pStyle w:val="Style_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Отопление и (или) выработка электрической  энергии с использованием котельных всех типов и (или) иного оборудования, находящихся в общей долевой собственности собственников помещений в многоквартирных домах </w:t>
            </w:r>
          </w:p>
        </w:tc>
        <w:tc>
          <w:tcPr>
            <w:tcW w:type="dxa" w:w="21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A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руб./1000 куб. м, </w:t>
            </w:r>
            <w:r>
              <w:rPr>
                <w:rFonts w:ascii="Times New Roman" w:hAnsi="Times New Roman"/>
                <w:sz w:val="24"/>
              </w:rPr>
              <w:t>приведенных</w:t>
            </w:r>
            <w:r>
              <w:rPr>
                <w:rFonts w:ascii="Times New Roman" w:hAnsi="Times New Roman"/>
                <w:sz w:val="24"/>
              </w:rPr>
              <w:t xml:space="preserve"> к стандартным усло</w:t>
            </w:r>
            <w:r>
              <w:rPr>
                <w:rFonts w:ascii="Times New Roman" w:hAnsi="Times New Roman"/>
                <w:sz w:val="24"/>
              </w:rPr>
              <w:t>виям</w:t>
            </w:r>
          </w:p>
        </w:tc>
        <w:tc>
          <w:tcPr>
            <w:tcW w:type="dxa" w:w="16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B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7328,00</w:t>
            </w:r>
          </w:p>
        </w:tc>
        <w:tc>
          <w:tcPr>
            <w:tcW w:type="dxa" w:w="16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C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8050,00</w:t>
            </w:r>
          </w:p>
        </w:tc>
      </w:tr>
    </w:tbl>
    <w:p w14:paraId="4D000000">
      <w:pPr>
        <w:ind w:firstLine="0" w:left="720"/>
      </w:pPr>
    </w:p>
    <w:p w14:paraId="4E000000">
      <w:pPr>
        <w:ind w:firstLine="0" w:left="720"/>
      </w:pPr>
    </w:p>
    <w:p w14:paraId="4F000000"/>
    <w:p w14:paraId="50000000">
      <w:pPr>
        <w:tabs>
          <w:tab w:leader="none" w:pos="850" w:val="left"/>
        </w:tabs>
        <w:spacing w:line="302" w:lineRule="exact"/>
        <w:ind w:hanging="11" w:left="11"/>
        <w:rPr>
          <w:b w:val="1"/>
          <w:sz w:val="28"/>
        </w:rPr>
      </w:pPr>
    </w:p>
    <w:sectPr>
      <w:pgSz w:h="16834" w:orient="portrait" w:w="11909"/>
      <w:pgMar w:bottom="426" w:footer="720" w:gutter="0" w:header="720" w:left="1134" w:right="852" w:top="99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0"/>
      <w:ind/>
    </w:pPr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1" w:type="paragraph">
    <w:name w:val="ConsPlusNormal"/>
    <w:link w:val="Style_1_ch"/>
    <w:pPr>
      <w:widowControl w:val="0"/>
      <w:ind w:firstLine="720" w:left="0"/>
    </w:pPr>
    <w:rPr>
      <w:rFonts w:ascii="Arial" w:hAnsi="Arial"/>
    </w:rPr>
  </w:style>
  <w:style w:styleId="Style_1_ch" w:type="character">
    <w:name w:val="ConsPlusNormal"/>
    <w:link w:val="Style_1"/>
    <w:rPr>
      <w:rFonts w:ascii="Arial" w:hAnsi="Arial"/>
    </w:rPr>
  </w:style>
  <w:style w:styleId="Style_7" w:type="paragraph">
    <w:name w:val="toc 7"/>
    <w:next w:val="Style_3"/>
    <w:link w:val="Style_7_ch"/>
    <w:uiPriority w:val="39"/>
    <w:pPr>
      <w:ind w:firstLine="0"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Balloon Text"/>
    <w:basedOn w:val="Style_3"/>
    <w:link w:val="Style_8_ch"/>
    <w:rPr>
      <w:rFonts w:ascii="Tahoma" w:hAnsi="Tahoma"/>
      <w:sz w:val="16"/>
    </w:rPr>
  </w:style>
  <w:style w:styleId="Style_8_ch" w:type="character">
    <w:name w:val="Balloon Text"/>
    <w:basedOn w:val="Style_3_ch"/>
    <w:link w:val="Style_8"/>
    <w:rPr>
      <w:rFonts w:ascii="Tahoma" w:hAnsi="Tahoma"/>
      <w:sz w:val="16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10"/>
    <w:next w:val="Style_3"/>
    <w:link w:val="Style_10_ch"/>
    <w:pPr>
      <w:ind w:firstLine="0" w:left="1800"/>
    </w:pPr>
    <w:rPr>
      <w:rFonts w:ascii="XO Thames" w:hAnsi="XO Thames"/>
      <w:sz w:val="28"/>
    </w:rPr>
  </w:style>
  <w:style w:styleId="Style_10_ch" w:type="character">
    <w:name w:val="toc 10"/>
    <w:link w:val="Style_10"/>
    <w:rPr>
      <w:rFonts w:ascii="XO Thames" w:hAnsi="XO Thames"/>
      <w:sz w:val="28"/>
    </w:rPr>
  </w:style>
  <w:style w:styleId="Style_11" w:type="paragraph">
    <w:name w:val="Обычный1"/>
    <w:link w:val="Style_11_ch"/>
  </w:style>
  <w:style w:styleId="Style_11_ch" w:type="character">
    <w:name w:val="Обычный1"/>
    <w:link w:val="Style_11"/>
  </w:style>
  <w:style w:styleId="Style_12" w:type="paragraph">
    <w:name w:val="toc 3"/>
    <w:next w:val="Style_3"/>
    <w:link w:val="Style_12_ch"/>
    <w:uiPriority w:val="39"/>
    <w:pPr>
      <w:ind w:firstLine="0" w:left="400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5"/>
    <w:next w:val="Style_3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Гиперссылка2"/>
    <w:link w:val="Style_15_ch"/>
    <w:rPr>
      <w:color w:val="0000FF"/>
      <w:u w:val="single"/>
    </w:rPr>
  </w:style>
  <w:style w:styleId="Style_15_ch" w:type="character">
    <w:name w:val="Гиперссылка2"/>
    <w:link w:val="Style_15"/>
    <w:rPr>
      <w:color w:val="0000FF"/>
      <w:u w:val="single"/>
    </w:rPr>
  </w:style>
  <w:style w:styleId="Style_16" w:type="paragraph">
    <w:name w:val="heading 1"/>
    <w:basedOn w:val="Style_3"/>
    <w:link w:val="Style_16_ch"/>
    <w:uiPriority w:val="9"/>
    <w:qFormat/>
    <w:pPr>
      <w:widowControl w:val="1"/>
      <w:spacing w:afterAutospacing="on" w:beforeAutospacing="on"/>
      <w:ind/>
      <w:outlineLvl w:val="0"/>
    </w:pPr>
    <w:rPr>
      <w:b w:val="1"/>
      <w:sz w:val="48"/>
    </w:rPr>
  </w:style>
  <w:style w:styleId="Style_16_ch" w:type="character">
    <w:name w:val="heading 1"/>
    <w:basedOn w:val="Style_3_ch"/>
    <w:link w:val="Style_16"/>
    <w:rPr>
      <w:b w:val="1"/>
      <w:sz w:val="48"/>
    </w:rPr>
  </w:style>
  <w:style w:styleId="Style_17" w:type="paragraph">
    <w:name w:val="Знак"/>
    <w:basedOn w:val="Style_3"/>
    <w:link w:val="Style_17_ch"/>
    <w:pPr>
      <w:widowControl w:val="1"/>
      <w:spacing w:afterAutospacing="on" w:beforeAutospacing="on"/>
      <w:ind/>
    </w:pPr>
    <w:rPr>
      <w:rFonts w:ascii="Tahoma" w:hAnsi="Tahoma"/>
    </w:rPr>
  </w:style>
  <w:style w:styleId="Style_17_ch" w:type="character">
    <w:name w:val="Знак"/>
    <w:basedOn w:val="Style_3_ch"/>
    <w:link w:val="Style_17"/>
    <w:rPr>
      <w:rFonts w:ascii="Tahoma" w:hAnsi="Tahoma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Обычный1"/>
    <w:link w:val="Style_20_ch"/>
  </w:style>
  <w:style w:styleId="Style_20_ch" w:type="character">
    <w:name w:val="Обычный1"/>
    <w:link w:val="Style_20"/>
  </w:style>
  <w:style w:styleId="Style_21" w:type="paragraph">
    <w:name w:val="toc 1"/>
    <w:next w:val="Style_3"/>
    <w:link w:val="Style_21_ch"/>
    <w:uiPriority w:val="39"/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ind/>
      <w:jc w:val="both"/>
    </w:pPr>
    <w:rPr>
      <w:rFonts w:ascii="XO Thames" w:hAnsi="XO Thames"/>
    </w:rPr>
  </w:style>
  <w:style w:styleId="Style_22_ch" w:type="character">
    <w:name w:val="Header and Footer"/>
    <w:link w:val="Style_22"/>
    <w:rPr>
      <w:rFonts w:ascii="XO Thames" w:hAnsi="XO Thames"/>
    </w:rPr>
  </w:style>
  <w:style w:styleId="Style_23" w:type="paragraph">
    <w:name w:val="Основной шрифт абзаца1"/>
    <w:link w:val="Style_23_ch"/>
  </w:style>
  <w:style w:styleId="Style_23_ch" w:type="character">
    <w:name w:val="Основной шрифт абзаца1"/>
    <w:link w:val="Style_23"/>
  </w:style>
  <w:style w:styleId="Style_24" w:type="paragraph">
    <w:name w:val="toc 9"/>
    <w:next w:val="Style_3"/>
    <w:link w:val="Style_24_ch"/>
    <w:uiPriority w:val="39"/>
    <w:pPr>
      <w:ind w:firstLine="0" w:left="1600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Гиперссылка1"/>
    <w:link w:val="Style_25_ch"/>
    <w:rPr>
      <w:color w:val="0000FF"/>
      <w:u w:val="single"/>
    </w:rPr>
  </w:style>
  <w:style w:styleId="Style_25_ch" w:type="character">
    <w:name w:val="Гиперссылка1"/>
    <w:link w:val="Style_25"/>
    <w:rPr>
      <w:color w:val="0000FF"/>
      <w:u w:val="single"/>
    </w:rPr>
  </w:style>
  <w:style w:styleId="Style_26" w:type="paragraph">
    <w:name w:val="toc 8"/>
    <w:next w:val="Style_3"/>
    <w:link w:val="Style_26_ch"/>
    <w:uiPriority w:val="39"/>
    <w:pPr>
      <w:ind w:firstLine="0" w:left="1400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Основной шрифт абзаца2"/>
    <w:link w:val="Style_27_ch"/>
  </w:style>
  <w:style w:styleId="Style_27_ch" w:type="character">
    <w:name w:val="Основной шрифт абзаца2"/>
    <w:link w:val="Style_27"/>
  </w:style>
  <w:style w:styleId="Style_28" w:type="paragraph">
    <w:name w:val="toc 5"/>
    <w:next w:val="Style_3"/>
    <w:link w:val="Style_28_ch"/>
    <w:uiPriority w:val="39"/>
    <w:pPr>
      <w:ind w:firstLine="0" w:left="800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Default Paragraph Font"/>
    <w:link w:val="Style_29_ch"/>
  </w:style>
  <w:style w:styleId="Style_29_ch" w:type="character">
    <w:name w:val="Default Paragraph Font"/>
    <w:link w:val="Style_29"/>
  </w:style>
  <w:style w:styleId="Style_30" w:type="paragraph">
    <w:name w:val="Subtitle"/>
    <w:next w:val="Style_3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3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3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3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2024-05-15T09:22:03Z</dcterms:modified>
</cp:coreProperties>
</file>