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741"/>
        <w:gridCol w:w="3180"/>
      </w:tblGrid>
      <w:tr>
        <w:tc>
          <w:tcPr>
            <w:tcW w:type="dxa" w:w="6741"/>
          </w:tcPr>
          <w:p w14:paraId="01000000">
            <w:pPr>
              <w:spacing w:before="14" w:line="264" w:lineRule="exact"/>
              <w:ind w:right="-55"/>
            </w:pPr>
            <w:bookmarkStart w:id="1" w:name="OLE_LINK5"/>
            <w:bookmarkStart w:id="2" w:name="OLE_LINK6"/>
            <w:bookmarkStart w:id="3" w:name="_Hlk398047635"/>
          </w:p>
        </w:tc>
        <w:tc>
          <w:tcPr>
            <w:tcW w:type="dxa" w:w="3180"/>
          </w:tcPr>
          <w:p w14:paraId="02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Приложение №</w:t>
            </w:r>
            <w:r>
              <w:rPr>
                <w:sz w:val="20"/>
              </w:rPr>
              <w:t xml:space="preserve"> 3</w:t>
            </w:r>
            <w:r>
              <w:rPr>
                <w:sz w:val="20"/>
              </w:rPr>
              <w:t xml:space="preserve"> </w:t>
            </w:r>
          </w:p>
          <w:p w14:paraId="03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к протоколу заседания Правления </w:t>
            </w:r>
          </w:p>
          <w:p w14:paraId="04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Региональной службы по тарифам </w:t>
            </w:r>
          </w:p>
          <w:p w14:paraId="05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Ростовской области</w:t>
            </w:r>
          </w:p>
          <w:p w14:paraId="06000000">
            <w:pPr>
              <w:ind/>
              <w:jc w:val="right"/>
            </w:pP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>27</w:t>
            </w:r>
            <w:r>
              <w:rPr>
                <w:sz w:val="20"/>
              </w:rPr>
              <w:t>.12.202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№ </w:t>
            </w:r>
            <w:r>
              <w:rPr>
                <w:sz w:val="20"/>
              </w:rPr>
              <w:t>79</w:t>
            </w:r>
          </w:p>
        </w:tc>
      </w:tr>
    </w:tbl>
    <w:p w14:paraId="07000000">
      <w:pPr>
        <w:ind/>
        <w:jc w:val="center"/>
        <w:rPr>
          <w:b w:val="1"/>
          <w:sz w:val="20"/>
        </w:rPr>
      </w:pPr>
      <w:bookmarkEnd w:id="1"/>
      <w:bookmarkEnd w:id="2"/>
      <w:bookmarkEnd w:id="3"/>
      <w:r>
        <w:rPr>
          <w:b w:val="1"/>
          <w:sz w:val="20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ind/>
        <w:jc w:val="center"/>
        <w:rPr>
          <w:b w:val="1"/>
          <w:sz w:val="26"/>
        </w:rPr>
      </w:pP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D000000">
      <w:pPr>
        <w:pStyle w:val="Style_2"/>
        <w:widowControl w:val="1"/>
        <w:ind/>
        <w:jc w:val="center"/>
        <w:rPr>
          <w:rFonts w:ascii="Times New Roman" w:hAnsi="Times New Roman"/>
          <w:b w:val="0"/>
          <w:sz w:val="26"/>
        </w:rPr>
      </w:pPr>
    </w:p>
    <w:p w14:paraId="0E000000">
      <w:pPr>
        <w:ind w:firstLine="540" w:left="0" w:right="665"/>
        <w:jc w:val="center"/>
        <w:rPr>
          <w:sz w:val="28"/>
        </w:rPr>
      </w:pPr>
      <w:r>
        <w:rPr>
          <w:sz w:val="28"/>
        </w:rPr>
        <w:t>27</w:t>
      </w:r>
      <w:r>
        <w:rPr>
          <w:sz w:val="28"/>
        </w:rPr>
        <w:t>.12.202</w:t>
      </w:r>
      <w:r>
        <w:rPr>
          <w:sz w:val="28"/>
        </w:rPr>
        <w:t>4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№ </w:t>
      </w:r>
      <w:r>
        <w:rPr>
          <w:sz w:val="28"/>
        </w:rPr>
        <w:t>826</w:t>
      </w:r>
    </w:p>
    <w:p w14:paraId="0F000000">
      <w:pPr>
        <w:ind w:firstLine="540" w:left="0" w:right="665"/>
        <w:jc w:val="center"/>
        <w:rPr>
          <w:b w:val="1"/>
          <w:sz w:val="26"/>
        </w:rPr>
      </w:pPr>
    </w:p>
    <w:p w14:paraId="10000000">
      <w:pPr>
        <w:ind w:firstLine="540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Об установлении платы за технологическое присоединение газоиспользующего оборудования к газораспределительным сетям </w:t>
      </w:r>
    </w:p>
    <w:p w14:paraId="11000000">
      <w:pPr>
        <w:ind w:firstLine="540" w:left="0"/>
        <w:jc w:val="center"/>
        <w:rPr>
          <w:b w:val="1"/>
          <w:sz w:val="28"/>
        </w:rPr>
      </w:pPr>
      <w:r>
        <w:rPr>
          <w:b w:val="1"/>
          <w:sz w:val="28"/>
        </w:rPr>
        <w:t>ПАО «Газпром газораспределение Ростов-на-Дону» на 202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год</w:t>
      </w:r>
    </w:p>
    <w:p w14:paraId="12000000">
      <w:pPr>
        <w:pStyle w:val="Style_3"/>
        <w:ind/>
        <w:jc w:val="center"/>
        <w:rPr>
          <w:sz w:val="28"/>
        </w:rPr>
      </w:pPr>
    </w:p>
    <w:p w14:paraId="13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31.03.1999 № 69-ФЗ «О газоснабжении в Российской Федерации», постановлением Правительства Российской Федерации от 29.12.2000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газопровода», постановлением Правительства 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Федерации», Методическими указаниями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тарифных ставок, определяющих ее величину, утвержденными приказом Федеральной антимонопольной службы от 16.08.2018  № 1151/18,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          </w:t>
      </w:r>
    </w:p>
    <w:p w14:paraId="14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    </w:t>
      </w:r>
    </w:p>
    <w:p w14:paraId="15000000">
      <w:pPr>
        <w:ind w:firstLine="540" w:left="0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6000000">
      <w:pPr>
        <w:ind w:firstLine="709" w:left="0"/>
        <w:jc w:val="both"/>
        <w:rPr>
          <w:sz w:val="28"/>
        </w:rPr>
      </w:pPr>
    </w:p>
    <w:p w14:paraId="17000000">
      <w:pPr>
        <w:ind w:firstLine="540" w:left="0"/>
        <w:jc w:val="both"/>
        <w:rPr>
          <w:sz w:val="28"/>
        </w:rPr>
      </w:pPr>
      <w:r>
        <w:rPr>
          <w:sz w:val="28"/>
        </w:rPr>
        <w:t>1. Установить плату за технологическое присоединение газоиспользующего оборудования к газораспределительным сетям ПАО «Газпром газораспределение Ростов-на-Дону» на 202</w:t>
      </w:r>
      <w:r>
        <w:rPr>
          <w:sz w:val="28"/>
        </w:rPr>
        <w:t>5</w:t>
      </w:r>
      <w:r>
        <w:rPr>
          <w:sz w:val="28"/>
        </w:rPr>
        <w:t xml:space="preserve"> год согласно приложению к постановлению.</w:t>
      </w:r>
    </w:p>
    <w:p w14:paraId="18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1.1. Признать экономически обоснованной плату за технологическое присоединение газоиспользующего оборудования заявителей, указанных в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"consultantplus://offline/ref=6488908A2226CC38AF5E86E31E583AE828F9C3571B327885BFB554B0F12EA6A2F0BBF6EA4715341D60F3A021Q6I"</w:instrText>
      </w:r>
      <w:r>
        <w:rPr>
          <w:sz w:val="28"/>
        </w:rPr>
        <w:fldChar w:fldCharType="separate"/>
      </w:r>
      <w:r>
        <w:rPr>
          <w:sz w:val="28"/>
        </w:rPr>
        <w:t>пункте 1</w:t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"consultantplus://offline/ref=6488908A2226CC38AF5E86E31E583AE828F9C3571B327885BFB554B0F12EA6A2F0BBF6EA4715341D60F3A021Q3I"</w:instrText>
      </w:r>
      <w:r>
        <w:rPr>
          <w:sz w:val="28"/>
        </w:rPr>
        <w:fldChar w:fldCharType="separate"/>
      </w:r>
      <w:r>
        <w:rPr>
          <w:sz w:val="28"/>
        </w:rPr>
        <w:t xml:space="preserve"> приложения</w:t>
      </w:r>
      <w:r>
        <w:rPr>
          <w:sz w:val="28"/>
        </w:rPr>
        <w:fldChar w:fldCharType="end"/>
      </w:r>
      <w:r>
        <w:rPr>
          <w:sz w:val="28"/>
        </w:rPr>
        <w:t xml:space="preserve"> к постановлению, к газораспределительным сетям ПАО «Газпром газораспределение Ростов-на-Дону» в размере </w:t>
      </w:r>
      <w:r>
        <w:rPr>
          <w:sz w:val="28"/>
        </w:rPr>
        <w:t>161 026,84</w:t>
      </w:r>
      <w:r>
        <w:rPr>
          <w:sz w:val="28"/>
        </w:rPr>
        <w:t xml:space="preserve"> руб. за одно подключение (без учета НДС).</w:t>
      </w:r>
    </w:p>
    <w:p w14:paraId="19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1.2. Признать экономически обоснованной плату за технологическое присоединение газоиспользующего оборудования заявителей, указанных в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"consultantplus://offline/ref=6488908A2226CC38AF5E86E31E583AE828F9C3571B327885BFB554B0F12EA6A2F0BBF6EA4715341D60F3A021Q6I"</w:instrText>
      </w:r>
      <w:r>
        <w:rPr>
          <w:sz w:val="28"/>
        </w:rPr>
        <w:fldChar w:fldCharType="separate"/>
      </w:r>
      <w:r>
        <w:rPr>
          <w:sz w:val="28"/>
        </w:rPr>
        <w:t>пункте 2</w:t>
      </w:r>
      <w:r>
        <w:rPr>
          <w:sz w:val="28"/>
        </w:rPr>
        <w:fldChar w:fldCharType="end"/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"consultantplus://offline/ref=6488908A2226CC38AF5E86E31E583AE828F9C3571B327885BFB554B0F12EA6A2F0BBF6EA4715341D60F3A021Q3I"</w:instrText>
      </w:r>
      <w:r>
        <w:rPr>
          <w:sz w:val="28"/>
        </w:rPr>
        <w:fldChar w:fldCharType="separate"/>
      </w:r>
      <w:r>
        <w:rPr>
          <w:sz w:val="28"/>
        </w:rPr>
        <w:t xml:space="preserve"> приложения</w:t>
      </w:r>
      <w:r>
        <w:rPr>
          <w:sz w:val="28"/>
        </w:rPr>
        <w:fldChar w:fldCharType="end"/>
      </w:r>
      <w:r>
        <w:rPr>
          <w:sz w:val="28"/>
        </w:rPr>
        <w:t xml:space="preserve"> к постановлению, к газораспределительным сетям ПАО «Газпром газораспределение Ростов-на-Дону» в размере </w:t>
      </w:r>
      <w:r>
        <w:rPr>
          <w:sz w:val="28"/>
        </w:rPr>
        <w:t>107 114,35</w:t>
      </w:r>
      <w:r>
        <w:rPr>
          <w:sz w:val="28"/>
        </w:rPr>
        <w:t xml:space="preserve"> руб. за одно подключение (без учета НДС).</w:t>
      </w:r>
    </w:p>
    <w:p w14:paraId="1A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1.3. Учесть плановые выпадающие доходы ПАО «Газпром газораспределение Ростов-на-Дону», связанные с технологическим присоединением газоиспользующего оборудования заявителей, указанных в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"consultantplus://offline/ref=6488908A2226CC38AF5E86E31E583AE828F9C3571B327885BFB554B0F12EA6A2F0BBF6EA4715341D60F3A021Q6I"</w:instrText>
      </w:r>
      <w:r>
        <w:rPr>
          <w:sz w:val="28"/>
        </w:rPr>
        <w:fldChar w:fldCharType="separate"/>
      </w:r>
      <w:r>
        <w:rPr>
          <w:sz w:val="28"/>
        </w:rPr>
        <w:t>пунктах 1</w:t>
      </w:r>
      <w:r>
        <w:rPr>
          <w:sz w:val="28"/>
        </w:rPr>
        <w:fldChar w:fldCharType="end"/>
      </w:r>
      <w:r>
        <w:rPr>
          <w:sz w:val="28"/>
        </w:rPr>
        <w:t xml:space="preserve"> и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"consultantplus://offline/ref=6488908A2226CC38AF5E86E31E583AE828F9C3571B327885BFB554B0F12EA6A2F0BBF6EA4715341D60F3A021Q3I"</w:instrText>
      </w:r>
      <w:r>
        <w:rPr>
          <w:sz w:val="28"/>
        </w:rPr>
        <w:fldChar w:fldCharType="separate"/>
      </w:r>
      <w:r>
        <w:rPr>
          <w:sz w:val="28"/>
        </w:rPr>
        <w:t>2 приложения</w:t>
      </w:r>
      <w:r>
        <w:rPr>
          <w:sz w:val="28"/>
        </w:rPr>
        <w:fldChar w:fldCharType="end"/>
      </w:r>
      <w:r>
        <w:rPr>
          <w:sz w:val="28"/>
        </w:rPr>
        <w:t xml:space="preserve"> к постановлению, в размере </w:t>
      </w:r>
      <w:r>
        <w:rPr>
          <w:sz w:val="28"/>
        </w:rPr>
        <w:t>248 027,12</w:t>
      </w:r>
      <w:r>
        <w:rPr>
          <w:sz w:val="28"/>
        </w:rPr>
        <w:t xml:space="preserve"> тыс. руб. (без учета НДС).</w:t>
      </w:r>
    </w:p>
    <w:p w14:paraId="1B000000">
      <w:pPr>
        <w:ind w:firstLine="540" w:left="0"/>
        <w:jc w:val="both"/>
        <w:rPr>
          <w:sz w:val="28"/>
        </w:rPr>
      </w:pPr>
      <w:r>
        <w:rPr>
          <w:sz w:val="28"/>
        </w:rPr>
        <w:t>2. Признать экономически обоснованными расходы на выполнение мероприятий, подлежащих осуществлению в ходе технологического присоединения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деятельности, осуществляемых без взимания с них средств при условии, что в населенном пункте, в котором располагается домовладение заявителя, проложены газораспределительные сети, по которым осуществляется транспортировка газа, а также при наличии у таких лиц документа, подтверждающего право собственности или иное предусмотренное законом право на домовладение и земельный участок, на котором расположено это домовладение, в размере 1</w:t>
      </w:r>
      <w:r>
        <w:rPr>
          <w:sz w:val="28"/>
        </w:rPr>
        <w:t> 126 063,07</w:t>
      </w:r>
      <w:r>
        <w:rPr>
          <w:sz w:val="28"/>
        </w:rPr>
        <w:t xml:space="preserve"> </w:t>
      </w:r>
      <w:r>
        <w:rPr>
          <w:sz w:val="28"/>
        </w:rPr>
        <w:t>тыс.руб</w:t>
      </w:r>
      <w:r>
        <w:rPr>
          <w:sz w:val="28"/>
        </w:rPr>
        <w:t xml:space="preserve">. (без учета НДС), в том числе не покрытых финансовыми средствами, получаемыми ПАО «Газпром газораспределение Ростов-на-Дону» в результате введения специальных надбавок к тарифам на транспортировку газа и установления тарифа на услуги по транспортировке газа по газораспределительным сетям в размере                     </w:t>
      </w:r>
      <w:r>
        <w:rPr>
          <w:sz w:val="28"/>
        </w:rPr>
        <w:t>397 833,8</w:t>
      </w:r>
      <w:r>
        <w:rPr>
          <w:sz w:val="28"/>
        </w:rPr>
        <w:t>8</w:t>
      </w:r>
      <w:r>
        <w:rPr>
          <w:sz w:val="28"/>
        </w:rPr>
        <w:t xml:space="preserve"> </w:t>
      </w:r>
      <w:r>
        <w:rPr>
          <w:sz w:val="28"/>
        </w:rPr>
        <w:t>тыс.руб</w:t>
      </w:r>
      <w:r>
        <w:rPr>
          <w:sz w:val="28"/>
        </w:rPr>
        <w:t>. (без учета НДС).</w:t>
      </w:r>
    </w:p>
    <w:p w14:paraId="1C000000">
      <w:pPr>
        <w:pStyle w:val="Style_4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Style w:val="Style_5_ch"/>
          <w:rFonts w:ascii="Times New Roman" w:hAnsi="Times New Roman"/>
          <w:sz w:val="28"/>
        </w:rPr>
        <w:t xml:space="preserve">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http://rst.donland.ru и вступает в силу </w:t>
      </w:r>
      <w:r>
        <w:rPr>
          <w:rFonts w:ascii="Times New Roman" w:hAnsi="Times New Roman"/>
          <w:sz w:val="28"/>
        </w:rPr>
        <w:t>с 1 января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года. </w:t>
      </w:r>
    </w:p>
    <w:p w14:paraId="1D000000">
      <w:pPr>
        <w:ind w:firstLine="540" w:left="180"/>
        <w:jc w:val="both"/>
        <w:rPr>
          <w:sz w:val="28"/>
        </w:rPr>
      </w:pPr>
    </w:p>
    <w:p w14:paraId="1E000000">
      <w:pPr>
        <w:ind w:firstLine="540" w:left="180"/>
        <w:jc w:val="both"/>
        <w:rPr>
          <w:sz w:val="28"/>
        </w:rPr>
      </w:pPr>
    </w:p>
    <w:p w14:paraId="1F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20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</w:t>
      </w:r>
    </w:p>
    <w:p w14:paraId="21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по тарифам Ростовской области        </w:t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                        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А.В. Лукьянов</w:t>
      </w:r>
    </w:p>
    <w:p w14:paraId="22000000">
      <w:pPr>
        <w:ind w:firstLine="709" w:left="0"/>
        <w:rPr>
          <w:sz w:val="28"/>
        </w:rPr>
      </w:pPr>
    </w:p>
    <w:p w14:paraId="23000000">
      <w:pPr>
        <w:rPr>
          <w:sz w:val="28"/>
        </w:rPr>
      </w:pPr>
    </w:p>
    <w:p w14:paraId="24000000">
      <w:pPr>
        <w:sectPr>
          <w:pgSz w:h="16838" w:orient="portrait" w:w="11906"/>
          <w:pgMar w:bottom="709" w:footer="720" w:gutter="0" w:header="720" w:left="1134" w:right="851" w:top="709"/>
        </w:sectPr>
      </w:pPr>
    </w:p>
    <w:p w14:paraId="25000000"/>
    <w:tbl>
      <w:tblPr>
        <w:tblStyle w:val="Style_1"/>
        <w:tblInd w:type="dxa" w:w="5706"/>
        <w:tblLayout w:type="fixed"/>
      </w:tblPr>
      <w:tblGrid>
        <w:gridCol w:w="4357"/>
      </w:tblGrid>
      <w:tr>
        <w:trPr>
          <w:trHeight w:hRule="atLeast" w:val="1261"/>
        </w:trPr>
        <w:tc>
          <w:tcPr>
            <w:tcW w:type="dxa" w:w="4357"/>
          </w:tcPr>
          <w:p w14:paraId="26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14:paraId="27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к постановлению Региональной службы по тарифам Ростовской области</w:t>
            </w:r>
          </w:p>
          <w:p w14:paraId="28000000">
            <w:pPr>
              <w:ind/>
              <w:jc w:val="right"/>
            </w:pP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7</w:t>
            </w:r>
            <w:bookmarkStart w:id="4" w:name="_GoBack"/>
            <w:bookmarkEnd w:id="4"/>
            <w:r>
              <w:rPr>
                <w:sz w:val="20"/>
              </w:rPr>
              <w:t>.12.202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№ </w:t>
            </w:r>
            <w:r>
              <w:rPr>
                <w:sz w:val="20"/>
              </w:rPr>
              <w:t>826</w:t>
            </w:r>
          </w:p>
        </w:tc>
      </w:tr>
    </w:tbl>
    <w:p w14:paraId="29000000">
      <w:pPr>
        <w:ind/>
        <w:jc w:val="center"/>
        <w:rPr>
          <w:sz w:val="28"/>
        </w:rPr>
      </w:pPr>
    </w:p>
    <w:p w14:paraId="2A000000">
      <w:pPr>
        <w:ind/>
        <w:jc w:val="center"/>
        <w:rPr>
          <w:sz w:val="28"/>
        </w:rPr>
      </w:pPr>
      <w:r>
        <w:rPr>
          <w:sz w:val="28"/>
        </w:rPr>
        <w:t xml:space="preserve">Плата за технологическое присоединение газоиспользующего оборудования к газораспределительным сетям </w:t>
      </w:r>
    </w:p>
    <w:p w14:paraId="2B000000">
      <w:pPr>
        <w:ind/>
        <w:jc w:val="center"/>
        <w:rPr>
          <w:sz w:val="28"/>
        </w:rPr>
      </w:pPr>
      <w:r>
        <w:rPr>
          <w:sz w:val="28"/>
        </w:rPr>
        <w:t>ПАО «Газпром газораспределение Ростов-на-Дону» на 202</w:t>
      </w:r>
      <w:r>
        <w:rPr>
          <w:sz w:val="28"/>
        </w:rPr>
        <w:t>5</w:t>
      </w:r>
      <w:r>
        <w:rPr>
          <w:sz w:val="28"/>
        </w:rPr>
        <w:t xml:space="preserve"> год</w:t>
      </w:r>
    </w:p>
    <w:p w14:paraId="2C000000">
      <w:pPr>
        <w:ind/>
        <w:jc w:val="center"/>
        <w:rPr>
          <w:sz w:val="28"/>
        </w:rPr>
      </w:pPr>
    </w:p>
    <w:tbl>
      <w:tblPr>
        <w:tblStyle w:val="Style_1"/>
        <w:tblInd w:type="dxa" w:w="-60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09"/>
        <w:gridCol w:w="7328"/>
        <w:gridCol w:w="2385"/>
      </w:tblGrid>
      <w:tr>
        <w:tc>
          <w:tcPr>
            <w:tcW w:type="dxa" w:w="8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00000">
            <w:pPr>
              <w:ind/>
              <w:jc w:val="center"/>
              <w:rPr>
                <w:sz w:val="28"/>
              </w:rPr>
            </w:pPr>
          </w:p>
          <w:p w14:paraId="2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type="dxa" w:w="7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Категории заявителей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Размер платы за одно подключение, руб.</w:t>
            </w:r>
          </w:p>
        </w:tc>
      </w:tr>
      <w:tr>
        <w:tc>
          <w:tcPr>
            <w:tcW w:type="dxa" w:w="8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7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Заявители, намеревающиеся использовать газ для целей предпринимательской (коммерческой) деятельности, с максимальным расходом газа газоиспользующего оборудования, не превышающим 15 куб. метров в час, с учетом расхода газа, ранее подключенного в данной точке подключения газоиспользующего оборудования заявителя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70 474,92</w:t>
            </w:r>
          </w:p>
          <w:p w14:paraId="3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(без учета НДС) </w:t>
            </w:r>
          </w:p>
        </w:tc>
      </w:tr>
      <w:tr>
        <w:trPr>
          <w:trHeight w:hRule="atLeast" w:val="1915"/>
        </w:trPr>
        <w:tc>
          <w:tcPr>
            <w:tcW w:type="dxa" w:w="8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7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Прочие заявители, не намеревающиеся использовать газ для целей предпринимательской (коммерческой) деятельности, с максимальным расходом газа газоиспользующего оборудования, не превышающим 5 куб. метров в час, с учетом расхода газа, ранее подключенного в данной точке подключения газоиспользующего оборудования заявителя 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284,96 </w:t>
            </w:r>
          </w:p>
          <w:p w14:paraId="3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(с учетом НДС)</w:t>
            </w:r>
          </w:p>
        </w:tc>
      </w:tr>
    </w:tbl>
    <w:p w14:paraId="39000000">
      <w:pPr>
        <w:rPr>
          <w:sz w:val="28"/>
        </w:rPr>
      </w:pPr>
    </w:p>
    <w:p w14:paraId="3A000000">
      <w:pPr>
        <w:ind/>
        <w:jc w:val="both"/>
      </w:pPr>
      <w:r>
        <w:t xml:space="preserve">Примечание. Размеры платы за технологическое присоединение газоиспользующего оборудования к газораспределительным сетям, указанные в пунктах 1-2, применяются </w:t>
      </w:r>
      <w:r>
        <w:t>при условии, что расстояние от газоиспользующего оборудования до сети газораспределения газораспределительной организации, в которую подана заявка, с проектным рабочим давлением не более 0,3 МПа, измеряемое по прямой линии (наименьшее расстояние), составляет не более 200 метров и сами мероприятия предполагают строительство только газопроводов (без необходимости выполнения мероприятий по прокладке газопроводов бестраншейным способом и устройства пункта редуцирования газа) в соответствии с утвержденной в установленном порядке региональной (межрегиональной) программой газификации жилищно-коммунального хозяйства, промышленных и иных организаций, в том числе схемой расположения объектов газоснабжения, используемых для обеспечения населения газом. В указанную плату за технологическое присоединение газоиспользующего оборудования не включаются расходы на выполнение мероприятий в границах земельного участка, принадлежащего на праве собственности или на ином законном основании физическому или юридическому лицу.</w:t>
      </w:r>
    </w:p>
    <w:p w14:paraId="3B000000">
      <w:pPr>
        <w:ind w:firstLine="708" w:left="0"/>
        <w:jc w:val="both"/>
      </w:pPr>
    </w:p>
    <w:p w14:paraId="3C000000">
      <w:pPr>
        <w:ind w:firstLine="708" w:left="0"/>
        <w:jc w:val="both"/>
      </w:pPr>
    </w:p>
    <w:p w14:paraId="3D000000">
      <w:pPr>
        <w:rPr>
          <w:sz w:val="26"/>
        </w:rPr>
      </w:pPr>
    </w:p>
    <w:sectPr>
      <w:pgSz w:h="16838" w:orient="portrait" w:w="11906"/>
      <w:pgMar w:bottom="568" w:footer="720" w:gutter="0" w:header="720" w:left="1134" w:right="851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ConsPlusNonformat"/>
    <w:link w:val="Style_9_ch"/>
    <w:rPr>
      <w:rFonts w:ascii="Courier New" w:hAnsi="Courier New"/>
    </w:rPr>
  </w:style>
  <w:style w:styleId="Style_9_ch" w:type="character">
    <w:name w:val="ConsPlusNonformat"/>
    <w:link w:val="Style_9"/>
    <w:rPr>
      <w:rFonts w:ascii="Courier New" w:hAnsi="Courier New"/>
    </w:rPr>
  </w:style>
  <w:style w:styleId="Style_10" w:type="paragraph">
    <w:name w:val="Balloon Text"/>
    <w:basedOn w:val="Style_6"/>
    <w:link w:val="Style_10_ch"/>
    <w:rPr>
      <w:rFonts w:ascii="Tahoma" w:hAnsi="Tahoma"/>
      <w:sz w:val="16"/>
    </w:rPr>
  </w:style>
  <w:style w:styleId="Style_10_ch" w:type="character">
    <w:name w:val="Balloon Text"/>
    <w:basedOn w:val="Style_6_ch"/>
    <w:link w:val="Style_10"/>
    <w:rPr>
      <w:rFonts w:ascii="Tahoma" w:hAnsi="Tahoma"/>
      <w:sz w:val="16"/>
    </w:rPr>
  </w:style>
  <w:style w:styleId="Style_11" w:type="paragraph">
    <w:name w:val="toc 6"/>
    <w:next w:val="Style_6"/>
    <w:link w:val="Style_11_ch"/>
    <w:uiPriority w:val="39"/>
    <w:pPr>
      <w:ind w:firstLine="0"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6"/>
    <w:link w:val="Style_12_ch"/>
    <w:uiPriority w:val="39"/>
    <w:pPr>
      <w:ind w:firstLine="0"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3" w:type="paragraph">
    <w:name w:val="ConsPlusTitle"/>
    <w:link w:val="Style_3_ch"/>
    <w:rPr>
      <w:rFonts w:ascii="Arial" w:hAnsi="Arial"/>
      <w:b w:val="1"/>
    </w:rPr>
  </w:style>
  <w:style w:styleId="Style_3_ch" w:type="character">
    <w:name w:val="ConsPlusTitle"/>
    <w:link w:val="Style_3"/>
    <w:rPr>
      <w:rFonts w:ascii="Arial" w:hAnsi="Arial"/>
      <w:b w:val="1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Font Style11"/>
    <w:link w:val="Style_14_ch"/>
    <w:rPr>
      <w:b w:val="1"/>
      <w:sz w:val="26"/>
    </w:rPr>
  </w:style>
  <w:style w:styleId="Style_14_ch" w:type="character">
    <w:name w:val="Font Style11"/>
    <w:link w:val="Style_14"/>
    <w:rPr>
      <w:b w:val="1"/>
      <w:sz w:val="26"/>
    </w:rPr>
  </w:style>
  <w:style w:styleId="Style_15" w:type="paragraph">
    <w:name w:val="Гиперссылка1"/>
    <w:link w:val="Style_15_ch"/>
    <w:rPr>
      <w:color w:val="0000FF"/>
      <w:u w:val="single"/>
    </w:rPr>
  </w:style>
  <w:style w:styleId="Style_15_ch" w:type="character">
    <w:name w:val="Гиперссылка1"/>
    <w:link w:val="Style_15"/>
    <w:rPr>
      <w:color w:val="0000FF"/>
      <w:u w:val="single"/>
    </w:rPr>
  </w:style>
  <w:style w:styleId="Style_5" w:type="paragraph">
    <w:name w:val="Обычный1"/>
    <w:link w:val="Style_5_ch"/>
    <w:rPr>
      <w:sz w:val="24"/>
    </w:rPr>
  </w:style>
  <w:style w:styleId="Style_5_ch" w:type="character">
    <w:name w:val="Обычный1"/>
    <w:link w:val="Style_5"/>
    <w:rPr>
      <w:sz w:val="24"/>
    </w:rPr>
  </w:style>
  <w:style w:styleId="Style_16" w:type="paragraph">
    <w:name w:val="ConsPlusCell"/>
    <w:link w:val="Style_16_ch"/>
    <w:rPr>
      <w:sz w:val="26"/>
    </w:rPr>
  </w:style>
  <w:style w:styleId="Style_16_ch" w:type="character">
    <w:name w:val="ConsPlusCell"/>
    <w:link w:val="Style_16"/>
    <w:rPr>
      <w:sz w:val="26"/>
    </w:rPr>
  </w:style>
  <w:style w:styleId="Style_17" w:type="paragraph">
    <w:name w:val="Знак1 Знак Знак Знак"/>
    <w:basedOn w:val="Style_6"/>
    <w:link w:val="Style_17_ch"/>
    <w:pPr>
      <w:spacing w:afterAutospacing="on" w:beforeAutospacing="on"/>
      <w:ind/>
    </w:pPr>
    <w:rPr>
      <w:rFonts w:ascii="Tahoma" w:hAnsi="Tahoma"/>
      <w:sz w:val="20"/>
    </w:rPr>
  </w:style>
  <w:style w:styleId="Style_17_ch" w:type="character">
    <w:name w:val="Знак1 Знак Знак Знак"/>
    <w:basedOn w:val="Style_6_ch"/>
    <w:link w:val="Style_17"/>
    <w:rPr>
      <w:rFonts w:ascii="Tahoma" w:hAnsi="Tahoma"/>
      <w:sz w:val="20"/>
    </w:rPr>
  </w:style>
  <w:style w:styleId="Style_18" w:type="paragraph">
    <w:name w:val="Body Text"/>
    <w:basedOn w:val="Style_6"/>
    <w:link w:val="Style_18_ch"/>
    <w:pPr>
      <w:spacing w:after="120"/>
      <w:ind/>
    </w:pPr>
  </w:style>
  <w:style w:styleId="Style_18_ch" w:type="character">
    <w:name w:val="Body Text"/>
    <w:basedOn w:val="Style_6_ch"/>
    <w:link w:val="Style_18"/>
  </w:style>
  <w:style w:styleId="Style_19" w:type="paragraph">
    <w:name w:val="toc 3"/>
    <w:next w:val="Style_6"/>
    <w:link w:val="Style_19_ch"/>
    <w:uiPriority w:val="39"/>
    <w:pPr>
      <w:ind w:firstLine="0"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Знак"/>
    <w:basedOn w:val="Style_6"/>
    <w:link w:val="Style_20_ch"/>
    <w:pPr>
      <w:spacing w:afterAutospacing="on" w:beforeAutospacing="on"/>
      <w:ind/>
    </w:pPr>
    <w:rPr>
      <w:rFonts w:ascii="Tahoma" w:hAnsi="Tahoma"/>
      <w:sz w:val="20"/>
    </w:rPr>
  </w:style>
  <w:style w:styleId="Style_20_ch" w:type="character">
    <w:name w:val="Знак"/>
    <w:basedOn w:val="Style_6_ch"/>
    <w:link w:val="Style_20"/>
    <w:rPr>
      <w:rFonts w:ascii="Tahoma" w:hAnsi="Tahoma"/>
      <w:sz w:val="20"/>
    </w:rPr>
  </w:style>
  <w:style w:styleId="Style_21" w:type="paragraph">
    <w:name w:val="heading 5"/>
    <w:next w:val="Style_6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4" w:type="paragraph">
    <w:name w:val="ConsPlusNormal"/>
    <w:link w:val="Style_4_ch"/>
    <w:pPr>
      <w:ind w:firstLine="720" w:left="0"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23" w:type="paragraph">
    <w:name w:val="heading 1"/>
    <w:next w:val="Style_6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6"/>
    <w:link w:val="Style_26_ch"/>
    <w:uiPriority w:val="39"/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ind/>
      <w:jc w:val="both"/>
    </w:pPr>
    <w:rPr>
      <w:rFonts w:ascii="XO Thames" w:hAnsi="XO Thames"/>
    </w:rPr>
  </w:style>
  <w:style w:styleId="Style_27_ch" w:type="character">
    <w:name w:val="Header and Footer"/>
    <w:link w:val="Style_27"/>
    <w:rPr>
      <w:rFonts w:ascii="XO Thames" w:hAnsi="XO Thames"/>
    </w:rPr>
  </w:style>
  <w:style w:styleId="Style_28" w:type="paragraph">
    <w:name w:val="toc 9"/>
    <w:next w:val="Style_6"/>
    <w:link w:val="Style_28_ch"/>
    <w:uiPriority w:val="39"/>
    <w:pPr>
      <w:ind w:firstLine="0" w:left="1600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Основной шрифт абзаца1"/>
    <w:link w:val="Style_29_ch"/>
  </w:style>
  <w:style w:styleId="Style_29_ch" w:type="character">
    <w:name w:val="Основной шрифт абзаца1"/>
    <w:link w:val="Style_29"/>
  </w:style>
  <w:style w:styleId="Style_30" w:type="paragraph">
    <w:name w:val="toc 8"/>
    <w:next w:val="Style_6"/>
    <w:link w:val="Style_30_ch"/>
    <w:uiPriority w:val="39"/>
    <w:pPr>
      <w:ind w:firstLine="0" w:left="1400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Endnote"/>
    <w:link w:val="Style_31_ch"/>
    <w:pPr>
      <w:ind w:firstLine="851" w:left="0"/>
      <w:jc w:val="both"/>
    </w:pPr>
    <w:rPr>
      <w:rFonts w:ascii="XO Thames" w:hAnsi="XO Thames"/>
      <w:sz w:val="22"/>
    </w:rPr>
  </w:style>
  <w:style w:styleId="Style_31_ch" w:type="character">
    <w:name w:val="Endnote"/>
    <w:link w:val="Style_31"/>
    <w:rPr>
      <w:rFonts w:ascii="XO Thames" w:hAnsi="XO Thames"/>
      <w:sz w:val="22"/>
    </w:rPr>
  </w:style>
  <w:style w:styleId="Style_32" w:type="paragraph">
    <w:name w:val="Font Style14"/>
    <w:link w:val="Style_32_ch"/>
    <w:rPr>
      <w:sz w:val="26"/>
    </w:rPr>
  </w:style>
  <w:style w:styleId="Style_32_ch" w:type="character">
    <w:name w:val="Font Style14"/>
    <w:link w:val="Style_32"/>
    <w:rPr>
      <w:sz w:val="26"/>
    </w:rPr>
  </w:style>
  <w:style w:styleId="Style_33" w:type="paragraph">
    <w:name w:val="Знак"/>
    <w:basedOn w:val="Style_6"/>
    <w:link w:val="Style_33_ch"/>
    <w:pPr>
      <w:spacing w:afterAutospacing="on" w:beforeAutospacing="on"/>
      <w:ind/>
    </w:pPr>
    <w:rPr>
      <w:rFonts w:ascii="Tahoma" w:hAnsi="Tahoma"/>
      <w:sz w:val="20"/>
    </w:rPr>
  </w:style>
  <w:style w:styleId="Style_33_ch" w:type="character">
    <w:name w:val="Знак"/>
    <w:basedOn w:val="Style_6_ch"/>
    <w:link w:val="Style_33"/>
    <w:rPr>
      <w:rFonts w:ascii="Tahoma" w:hAnsi="Tahoma"/>
      <w:sz w:val="20"/>
    </w:rPr>
  </w:style>
  <w:style w:styleId="Style_34" w:type="paragraph">
    <w:name w:val="toc 5"/>
    <w:next w:val="Style_6"/>
    <w:link w:val="Style_34_ch"/>
    <w:uiPriority w:val="39"/>
    <w:pPr>
      <w:ind w:firstLine="0" w:left="800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Body Text Indent 2"/>
    <w:basedOn w:val="Style_6"/>
    <w:link w:val="Style_35_ch"/>
    <w:pPr>
      <w:ind w:firstLine="708" w:left="0"/>
    </w:pPr>
    <w:rPr>
      <w:sz w:val="28"/>
    </w:rPr>
  </w:style>
  <w:style w:styleId="Style_35_ch" w:type="character">
    <w:name w:val="Body Text Indent 2"/>
    <w:basedOn w:val="Style_6_ch"/>
    <w:link w:val="Style_35"/>
    <w:rPr>
      <w:sz w:val="28"/>
    </w:rPr>
  </w:style>
  <w:style w:styleId="Style_36" w:type="paragraph">
    <w:name w:val="Subtitle"/>
    <w:next w:val="Style_6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6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6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next w:val="Style_6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40" w:type="paragraph">
    <w:name w:val="toc 10"/>
    <w:next w:val="Style_6"/>
    <w:link w:val="Style_40_ch"/>
    <w:pPr>
      <w:ind w:firstLine="0" w:left="1800"/>
    </w:pPr>
    <w:rPr>
      <w:rFonts w:ascii="XO Thames" w:hAnsi="XO Thames"/>
      <w:sz w:val="28"/>
    </w:rPr>
  </w:style>
  <w:style w:styleId="Style_40_ch" w:type="character">
    <w:name w:val="toc 10"/>
    <w:link w:val="Style_40"/>
    <w:rPr>
      <w:rFonts w:ascii="XO Thames" w:hAnsi="XO Thames"/>
      <w:sz w:val="28"/>
    </w:rPr>
  </w:style>
  <w:style w:styleId="Style_41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2024-12-28T07:45:00Z</dcterms:modified>
</cp:coreProperties>
</file>